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许庄城中村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区域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国有土地上房屋启动征收的起草说明</w:t>
      </w:r>
    </w:p>
    <w:p>
      <w:pPr>
        <w:spacing w:line="500" w:lineRule="exact"/>
        <w:jc w:val="center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(区住建交通局)</w:t>
      </w:r>
    </w:p>
    <w:p>
      <w:pPr>
        <w:spacing w:line="560" w:lineRule="exact"/>
        <w:ind w:firstLine="641"/>
        <w:rPr>
          <w:rFonts w:ascii="黑体" w:hAnsi="黑体" w:eastAsia="黑体" w:cs="Times New Roman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一、起草背景</w:t>
      </w:r>
    </w:p>
    <w:p>
      <w:pPr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根据城市总体规划</w:t>
      </w:r>
      <w:r>
        <w:rPr>
          <w:rFonts w:ascii="仿宋_GB2312" w:hAnsi="黑体" w:eastAsia="仿宋_GB2312" w:cs="仿宋_GB2312"/>
          <w:sz w:val="32"/>
          <w:szCs w:val="32"/>
        </w:rPr>
        <w:t>,</w:t>
      </w: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黑体" w:eastAsia="仿宋_GB2312" w:cs="仿宋_GB2312"/>
          <w:sz w:val="32"/>
          <w:szCs w:val="32"/>
        </w:rPr>
        <w:t>改善</w:t>
      </w: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城市</w:t>
      </w:r>
      <w:r>
        <w:rPr>
          <w:rFonts w:hint="eastAsia" w:ascii="仿宋_GB2312" w:hAnsi="黑体" w:eastAsia="仿宋_GB2312" w:cs="仿宋_GB2312"/>
          <w:sz w:val="32"/>
          <w:szCs w:val="32"/>
        </w:rPr>
        <w:t>环境</w:t>
      </w: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黑体" w:eastAsia="仿宋_GB2312" w:cs="仿宋_GB2312"/>
          <w:sz w:val="32"/>
          <w:szCs w:val="32"/>
        </w:rPr>
        <w:t>完善城市功能</w:t>
      </w:r>
      <w:r>
        <w:rPr>
          <w:rFonts w:ascii="仿宋_GB2312" w:hAnsi="黑体" w:eastAsia="仿宋_GB2312" w:cs="仿宋_GB2312"/>
          <w:sz w:val="32"/>
          <w:szCs w:val="32"/>
        </w:rPr>
        <w:t>,</w:t>
      </w:r>
      <w:r>
        <w:rPr>
          <w:rFonts w:hint="eastAsia" w:ascii="仿宋_GB2312" w:hAnsi="黑体" w:eastAsia="仿宋_GB2312" w:cs="仿宋_GB2312"/>
          <w:sz w:val="32"/>
          <w:szCs w:val="32"/>
        </w:rPr>
        <w:t>提升城市形象。经研究</w:t>
      </w:r>
      <w:r>
        <w:rPr>
          <w:rFonts w:ascii="仿宋_GB2312" w:hAnsi="黑体" w:eastAsia="仿宋_GB2312" w:cs="仿宋_GB2312"/>
          <w:sz w:val="32"/>
          <w:szCs w:val="32"/>
        </w:rPr>
        <w:t>,</w:t>
      </w:r>
      <w:r>
        <w:rPr>
          <w:rFonts w:hint="eastAsia" w:ascii="仿宋_GB2312" w:hAnsi="黑体" w:eastAsia="仿宋_GB2312" w:cs="仿宋_GB2312"/>
          <w:sz w:val="32"/>
          <w:szCs w:val="32"/>
        </w:rPr>
        <w:t>拟对</w:t>
      </w:r>
      <w:r>
        <w:rPr>
          <w:rFonts w:hint="eastAsia" w:ascii="仿宋" w:hAnsi="仿宋" w:eastAsia="仿宋"/>
          <w:sz w:val="32"/>
          <w:szCs w:val="32"/>
          <w:lang w:eastAsia="zh-CN"/>
        </w:rPr>
        <w:t>许庄城中村区域</w:t>
      </w:r>
      <w:r>
        <w:rPr>
          <w:rFonts w:hint="eastAsia" w:ascii="仿宋_GB2312" w:hAnsi="黑体" w:eastAsia="仿宋_GB2312" w:cs="仿宋_GB2312"/>
          <w:sz w:val="32"/>
          <w:szCs w:val="32"/>
        </w:rPr>
        <w:t>项目国有土地上房屋实施征收并发布征收公告。</w:t>
      </w:r>
    </w:p>
    <w:p>
      <w:pPr>
        <w:spacing w:line="560" w:lineRule="exact"/>
        <w:ind w:firstLine="640" w:firstLineChars="200"/>
        <w:rPr>
          <w:rFonts w:ascii="仿宋_GB2312" w:hAnsi="黑体" w:eastAsia="仿宋_GB2312" w:cs="Times New Roman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二、项目具体情况</w:t>
      </w:r>
    </w:p>
    <w:p>
      <w:pPr>
        <w:spacing w:line="500" w:lineRule="exact"/>
        <w:ind w:firstLine="640" w:firstLineChars="200"/>
        <w:rPr>
          <w:rFonts w:ascii="仿宋_GB2312" w:hAnsi="??_GB2312" w:eastAsia="仿宋_GB2312" w:cs="??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lang w:val="en-US" w:eastAsia="zh-CN"/>
        </w:rPr>
        <w:t>项目四至范围：</w:t>
      </w:r>
      <w:r>
        <w:rPr>
          <w:rFonts w:hint="eastAsia" w:ascii="仿宋_GB2312" w:hAnsi="宋体" w:eastAsia="仿宋_GB2312"/>
          <w:color w:val="auto"/>
          <w:sz w:val="32"/>
          <w:u w:val="none"/>
        </w:rPr>
        <w:t>东至</w:t>
      </w:r>
      <w:r>
        <w:rPr>
          <w:rFonts w:hint="eastAsia" w:ascii="仿宋_GB2312" w:hAnsi="宋体" w:eastAsia="仿宋_GB2312"/>
          <w:color w:val="auto"/>
          <w:sz w:val="32"/>
          <w:u w:val="none"/>
          <w:lang w:eastAsia="zh-CN"/>
        </w:rPr>
        <w:t>规划线</w:t>
      </w:r>
      <w:r>
        <w:rPr>
          <w:rFonts w:hint="eastAsia" w:ascii="仿宋_GB2312" w:hAnsi="宋体" w:eastAsia="仿宋_GB2312"/>
          <w:color w:val="auto"/>
          <w:sz w:val="32"/>
          <w:u w:val="none"/>
          <w:lang w:val="en-US" w:eastAsia="zh-CN"/>
        </w:rPr>
        <w:t>、西至石巷村东侧、南至规划线、北至淮河圈堤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_GB2312" w:hAnsi="宋体" w:eastAsia="仿宋_GB2312"/>
          <w:color w:val="auto"/>
          <w:sz w:val="32"/>
          <w:u w:val="none"/>
          <w:lang w:val="en-US" w:eastAsia="zh-CN"/>
        </w:rPr>
        <w:t>（详见征收范围红线图）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项目占地约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595</w:t>
      </w:r>
      <w:r>
        <w:rPr>
          <w:rFonts w:hint="eastAsia" w:ascii="仿宋" w:hAnsi="仿宋" w:eastAsia="仿宋" w:cs="仿宋"/>
          <w:sz w:val="32"/>
          <w:szCs w:val="32"/>
        </w:rPr>
        <w:t>亩，总户数约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89</w:t>
      </w:r>
      <w:r>
        <w:rPr>
          <w:rFonts w:hint="eastAsia" w:ascii="仿宋" w:hAnsi="仿宋" w:eastAsia="仿宋" w:cs="仿宋"/>
          <w:sz w:val="32"/>
          <w:szCs w:val="32"/>
        </w:rPr>
        <w:t>户，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涉及厂房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17户，</w:t>
      </w:r>
      <w:r>
        <w:rPr>
          <w:rFonts w:hint="eastAsia" w:ascii="仿宋" w:hAnsi="仿宋" w:eastAsia="仿宋" w:cs="仿宋"/>
          <w:sz w:val="32"/>
          <w:szCs w:val="32"/>
        </w:rPr>
        <w:t>房屋建筑面积约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60000</w:t>
      </w:r>
      <w:r>
        <w:rPr>
          <w:rFonts w:hint="eastAsia" w:ascii="仿宋" w:hAnsi="仿宋" w:eastAsia="仿宋" w:cs="仿宋"/>
          <w:sz w:val="32"/>
          <w:szCs w:val="32"/>
        </w:rPr>
        <w:t>平方米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（最终以实际协议签订为准）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三、执行政策</w:t>
      </w:r>
    </w:p>
    <w:p>
      <w:pPr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依据《国有土地上房屋征收与补偿条例》（国务院第</w:t>
      </w:r>
      <w:r>
        <w:rPr>
          <w:rFonts w:ascii="仿宋_GB2312" w:hAnsi="黑体" w:eastAsia="仿宋_GB2312" w:cs="仿宋_GB2312"/>
          <w:sz w:val="32"/>
          <w:szCs w:val="32"/>
        </w:rPr>
        <w:t>590</w:t>
      </w:r>
      <w:r>
        <w:rPr>
          <w:rFonts w:hint="eastAsia" w:ascii="仿宋_GB2312" w:hAnsi="黑体" w:eastAsia="仿宋_GB2312" w:cs="仿宋_GB2312"/>
          <w:sz w:val="32"/>
          <w:szCs w:val="32"/>
        </w:rPr>
        <w:t>号令）、《蚌埠市国有土地上房屋征收与补偿暂行办法》（蚌埠市第</w:t>
      </w:r>
      <w:r>
        <w:rPr>
          <w:rFonts w:ascii="仿宋_GB2312" w:hAnsi="黑体" w:eastAsia="仿宋_GB2312" w:cs="仿宋_GB2312"/>
          <w:sz w:val="32"/>
          <w:szCs w:val="32"/>
        </w:rPr>
        <w:t>26</w:t>
      </w:r>
      <w:r>
        <w:rPr>
          <w:rFonts w:hint="eastAsia" w:ascii="仿宋_GB2312" w:hAnsi="黑体" w:eastAsia="仿宋_GB2312" w:cs="仿宋_GB2312"/>
          <w:sz w:val="32"/>
          <w:szCs w:val="32"/>
        </w:rPr>
        <w:t>号令）的文件规定实施征收。</w:t>
      </w:r>
    </w:p>
    <w:p>
      <w:pPr>
        <w:spacing w:line="560" w:lineRule="exact"/>
        <w:ind w:firstLine="641"/>
        <w:rPr>
          <w:rFonts w:ascii="黑体" w:hAnsi="黑体" w:eastAsia="黑体" w:cs="Times New Roman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、提请研究事项</w:t>
      </w:r>
    </w:p>
    <w:p>
      <w:pPr>
        <w:spacing w:line="560" w:lineRule="exact"/>
        <w:ind w:firstLine="641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项目前期已完成调查摸底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sz w:val="32"/>
          <w:szCs w:val="32"/>
        </w:rPr>
        <w:t>区社会稳定风险评估领导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小组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2022年4月13日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已</w:t>
      </w:r>
      <w:r>
        <w:rPr>
          <w:rFonts w:hint="eastAsia" w:ascii="仿宋_GB2312" w:eastAsia="仿宋_GB2312" w:cs="仿宋_GB2312"/>
          <w:sz w:val="32"/>
          <w:szCs w:val="32"/>
        </w:rPr>
        <w:t>组织召开由区信访局、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eastAsia="仿宋_GB2312" w:cs="仿宋_GB2312"/>
          <w:sz w:val="32"/>
          <w:szCs w:val="32"/>
        </w:rPr>
        <w:t>维稳办、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eastAsia="仿宋_GB2312" w:cs="仿宋_GB2312"/>
          <w:sz w:val="32"/>
          <w:szCs w:val="32"/>
        </w:rPr>
        <w:t>发改委、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eastAsia="仿宋_GB2312" w:cs="仿宋_GB2312"/>
          <w:sz w:val="32"/>
          <w:szCs w:val="32"/>
        </w:rPr>
        <w:t>住建交通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eastAsia="仿宋_GB2312" w:cs="仿宋_GB2312"/>
          <w:sz w:val="32"/>
          <w:szCs w:val="32"/>
        </w:rPr>
        <w:t>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自然资源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规划</w:t>
      </w:r>
      <w:r>
        <w:rPr>
          <w:rFonts w:hint="eastAsia" w:ascii="仿宋_GB2312" w:eastAsia="仿宋_GB2312" w:cs="仿宋_GB2312"/>
          <w:sz w:val="32"/>
          <w:szCs w:val="32"/>
        </w:rPr>
        <w:t>局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禹会分局</w:t>
      </w:r>
      <w:r>
        <w:rPr>
          <w:rFonts w:hint="eastAsia" w:ascii="仿宋_GB2312" w:eastAsia="仿宋_GB2312" w:cs="仿宋_GB2312"/>
          <w:sz w:val="32"/>
          <w:szCs w:val="32"/>
        </w:rPr>
        <w:t>和项目所在地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长青乡政府</w:t>
      </w:r>
      <w:r>
        <w:rPr>
          <w:rFonts w:hint="eastAsia" w:ascii="仿宋_GB2312" w:eastAsia="仿宋_GB2312" w:cs="仿宋_GB2312"/>
          <w:sz w:val="32"/>
          <w:szCs w:val="32"/>
        </w:rPr>
        <w:t>等部门参加的新启动项目风险评估会议，</w:t>
      </w:r>
      <w:r>
        <w:rPr>
          <w:rFonts w:hint="eastAsia" w:ascii="仿宋_GB2312" w:hAnsi="仿宋" w:eastAsia="仿宋_GB2312" w:cs="仿宋_GB2312"/>
          <w:sz w:val="32"/>
          <w:szCs w:val="32"/>
        </w:rPr>
        <w:t>对项目的可行性进行了充分讨论，对各种风险进行评估并形成了风险评估报告，评估结果为“低风险”，可</w:t>
      </w:r>
      <w:r>
        <w:rPr>
          <w:rFonts w:hint="eastAsia" w:ascii="仿宋_GB2312" w:eastAsia="仿宋_GB2312" w:cs="仿宋_GB2312"/>
          <w:sz w:val="32"/>
          <w:szCs w:val="32"/>
        </w:rPr>
        <w:t>以实施房屋征收。</w:t>
      </w:r>
    </w:p>
    <w:p/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37317"/>
    <w:rsid w:val="1253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2022-04-15T00:36:00Z</dcterms:created>
  <dc:creator>哎哟喂</dc:creator>
  <cp:lastModifiedBy>哎哟喂</cp:lastModifiedBy>
  <dcterms:modified xsi:type="dcterms:W3CDTF">2022-04-15T00:38:04Z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9A6F1939E3E04018ADC73DF1058475D2</vt:lpwstr>
  </property>
</Properties>
</file>