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禹会区文化和旅游局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省市区三级文化协管员生活补贴项目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>
      <w:pPr>
        <w:spacing w:line="540" w:lineRule="exact"/>
        <w:ind w:firstLine="600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（一）项目概况。</w:t>
      </w:r>
      <w:r>
        <w:rPr>
          <w:rFonts w:hint="eastAsia" w:ascii="仿宋_GB2312" w:hAnsi="仿宋_GB2312" w:cs="仿宋_GB2312"/>
          <w:szCs w:val="32"/>
          <w:lang w:eastAsia="zh-CN"/>
        </w:rPr>
        <w:t>根据蚌埠市文旅局《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关于印发&lt;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蚌埠市政府购买基层公益文化岗位工作实施方案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&gt;的通知</w:t>
      </w:r>
      <w:r>
        <w:rPr>
          <w:rFonts w:hint="eastAsia" w:ascii="仿宋_GB2312" w:hAnsi="仿宋_GB2312" w:cs="仿宋_GB231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（蚌创文〔20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文件要求，采取政府购买公益岗位形式，每个行政村和社区至少配备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1名公共财政补贴的文化工作人员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（二）项目绩效目标。</w:t>
      </w:r>
      <w:r>
        <w:rPr>
          <w:rFonts w:hint="eastAsia" w:ascii="仿宋_GB2312" w:hAnsi="仿宋_GB2312" w:cs="仿宋_GB2312"/>
          <w:szCs w:val="32"/>
          <w:lang w:eastAsia="zh-CN"/>
        </w:rPr>
        <w:t>每个村和社区配备</w:t>
      </w:r>
      <w:r>
        <w:rPr>
          <w:rFonts w:hint="eastAsia" w:ascii="仿宋_GB2312" w:hAnsi="仿宋_GB2312" w:cs="仿宋_GB2312"/>
          <w:szCs w:val="32"/>
          <w:lang w:val="en-US" w:eastAsia="zh-CN"/>
        </w:rPr>
        <w:t>1名文化工作人员，负责管理村级公共文化设施，保证设施正常开放；做好党的政策宣传工作；组织开展各类群众文化活动，丰富群众文化生活;培育村级文艺队伍，培训群众文艺骨干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通过评价省市区三级文化协管员生活补贴，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公共文化服务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效能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（二）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禹会区</w:t>
      </w:r>
      <w:r>
        <w:rPr>
          <w:rFonts w:hint="eastAsia" w:ascii="仿宋_GB2312" w:hAnsi="仿宋_GB2312" w:eastAsia="仿宋_GB2312" w:cs="仿宋_GB2312"/>
          <w:szCs w:val="32"/>
        </w:rPr>
        <w:t>财政局关于开展202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年度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Cs w:val="32"/>
        </w:rPr>
        <w:t>级部门预算绩效单位自评和部门评价工作的通知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》（禹财〔202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号）文件，本着公开公正的原则开展绩效自评，主要从产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出、效益、满意度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4个方面开展自评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（一）总体结论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及时发放文化协管员生活补贴。协调文化协管员组织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开展各级各类主题阅读活动100余场次，群众参与度与满意度不断提升；锦绣社区获评2021年度“书香社区”，柏奥社区获评2022年度蚌埠市“十大书香社区”；我区选送节目《致党代表》荣获2022年度蚌埠市“喜迎二十大 书香润社区”朗诵大赛二等奖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（二）自评结果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经自评，全区人均文化事业费项目绩效自评综合得分为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分，自评结果为“优”。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省市区三级文化协管员生活补贴项目绩效自评指标体系共设置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个一级指标，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个二级指标，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个三级指标，各项指标评分情况分析如下：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（一）产出指标（满分50分，实得50分）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1.数量指标（满分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分，实得1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2.质量指标（满分1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分，实得1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3.时效指标（满分1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分，实得1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4.成本指标（满分1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分，实得1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（二）效益指标（满分30分，实得30分）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1.经济效益（满分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分，实得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2.社会效益（满分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分，实得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3.生态效益（满分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分，实得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4.可持续影响（满分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分，实得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（三）满意度指标（满分10分，实得10分）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五、存在问题及原因分析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通过自评发现，省市区三级文化协管员生活补贴项目实施虽取得了一定的成效，但还存在一些问题和不足，主要表现在：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一是绩效意识普遍不足。自评单位的绩效意识不强，认识和重视程度都不够，对绩效管理工作缺乏系统认识，不利于切实提高绩效管理水平。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二是绩效自评目标不够规范。项目绩效目标指标设定的合理性不够。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三是项目资金的管理不够完善。预算执行率有待进一步提高。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六</w:t>
      </w:r>
      <w:r>
        <w:rPr>
          <w:rFonts w:hint="eastAsia" w:ascii="黑体" w:hAnsi="黑体" w:eastAsia="黑体" w:cs="黑体"/>
          <w:szCs w:val="32"/>
        </w:rPr>
        <w:t>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为进一步提高专项资金使用效益，针对存在的问题，提出如下建议：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黑体" w:cs="黑体"/>
          <w:szCs w:val="32"/>
          <w:lang w:eastAsia="zh-CN"/>
        </w:rPr>
      </w:pPr>
      <w:r>
        <w:rPr>
          <w:rFonts w:hint="eastAsia" w:ascii="仿宋_GB2312" w:hAnsi="黑体" w:cs="黑体"/>
          <w:szCs w:val="32"/>
        </w:rPr>
        <w:t>附件</w:t>
      </w:r>
      <w:r>
        <w:rPr>
          <w:rFonts w:hint="eastAsia" w:ascii="仿宋_GB2312" w:hAnsi="黑体" w:cs="黑体"/>
          <w:szCs w:val="32"/>
          <w:lang w:eastAsia="zh-CN"/>
        </w:rPr>
        <w:t>：</w:t>
      </w:r>
      <w:r>
        <w:rPr>
          <w:rFonts w:hint="eastAsia" w:ascii="仿宋_GB2312" w:hAnsi="黑体" w:cs="黑体"/>
          <w:szCs w:val="32"/>
        </w:rPr>
        <w:t>项目支出绩效评价</w:t>
      </w:r>
      <w:r>
        <w:rPr>
          <w:rFonts w:hint="eastAsia" w:ascii="仿宋_GB2312" w:hAnsi="黑体" w:cs="黑体"/>
          <w:szCs w:val="32"/>
          <w:lang w:eastAsia="zh-CN"/>
        </w:rPr>
        <w:t>指标体系框架</w:t>
      </w:r>
    </w:p>
    <w:p>
      <w:pPr>
        <w:pStyle w:val="2"/>
        <w:rPr>
          <w:rFonts w:hint="eastAsia" w:ascii="仿宋_GB2312" w:hAnsi="黑体" w:cs="黑体"/>
          <w:szCs w:val="32"/>
          <w:lang w:eastAsia="zh-CN"/>
        </w:rPr>
      </w:pPr>
    </w:p>
    <w:p>
      <w:pPr>
        <w:pStyle w:val="2"/>
        <w:rPr>
          <w:rFonts w:hint="eastAsia" w:ascii="仿宋_GB2312" w:hAnsi="黑体" w:cs="黑体"/>
          <w:szCs w:val="32"/>
          <w:lang w:eastAsia="zh-CN"/>
        </w:rPr>
      </w:pPr>
    </w:p>
    <w:p>
      <w:pPr>
        <w:pStyle w:val="2"/>
        <w:rPr>
          <w:rFonts w:hint="eastAsia" w:ascii="仿宋_GB2312" w:hAnsi="黑体" w:cs="黑体"/>
          <w:szCs w:val="32"/>
          <w:lang w:eastAsia="zh-CN"/>
        </w:rPr>
      </w:pPr>
    </w:p>
    <w:p>
      <w:pPr>
        <w:pStyle w:val="2"/>
        <w:rPr>
          <w:rFonts w:hint="eastAsia" w:ascii="仿宋_GB2312" w:hAnsi="黑体" w:cs="黑体"/>
          <w:szCs w:val="32"/>
          <w:lang w:eastAsia="zh-CN"/>
        </w:rPr>
      </w:pPr>
    </w:p>
    <w:p>
      <w:pPr>
        <w:pStyle w:val="2"/>
        <w:rPr>
          <w:rFonts w:hint="eastAsia" w:ascii="仿宋_GB2312" w:hAnsi="黑体" w:cs="黑体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黑体" w:cs="黑体"/>
          <w:szCs w:val="32"/>
          <w:lang w:eastAsia="zh-CN"/>
        </w:rPr>
      </w:pPr>
      <w:r>
        <w:rPr>
          <w:rFonts w:hint="eastAsia" w:ascii="仿宋_GB2312" w:hAnsi="黑体" w:cs="黑体"/>
          <w:szCs w:val="32"/>
          <w:lang w:eastAsia="zh-CN"/>
        </w:rPr>
        <w:drawing>
          <wp:inline distT="0" distB="0" distL="114300" distR="114300">
            <wp:extent cx="5124450" cy="5238750"/>
            <wp:effectExtent l="0" t="0" r="0" b="0"/>
            <wp:docPr id="1" name="图片 1" descr="168837438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83743874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D5C1F"/>
    <w:multiLevelType w:val="singleLevel"/>
    <w:tmpl w:val="321D5C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jNkMDQ2ODIyNzZiOTAxZTgxYzRmNmJlMTI3YTgifQ=="/>
  </w:docVars>
  <w:rsids>
    <w:rsidRoot w:val="7677AECF"/>
    <w:rsid w:val="19AF20E4"/>
    <w:rsid w:val="28CE421D"/>
    <w:rsid w:val="42D642C4"/>
    <w:rsid w:val="61BA322A"/>
    <w:rsid w:val="6EBDBD0C"/>
    <w:rsid w:val="755792D5"/>
    <w:rsid w:val="7677AECF"/>
    <w:rsid w:val="B9FABF39"/>
    <w:rsid w:val="C7D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3650</Words>
  <Characters>3715</Characters>
  <Lines>0</Lines>
  <Paragraphs>0</Paragraphs>
  <TotalTime>4</TotalTime>
  <ScaleCrop>false</ScaleCrop>
  <LinksUpToDate>false</LinksUpToDate>
  <CharactersWithSpaces>3728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2023-03-02T23:53:00Z</dcterms:created>
  <dc:creator>bbcz</dc:creator>
  <cp:lastModifiedBy>Administrator</cp:lastModifiedBy>
  <cp:lastPrinted>2023-06-05T00:26:00Z</cp:lastPrinted>
  <dcterms:modified xsi:type="dcterms:W3CDTF">2023-07-03T08:53:23Z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D0824B6505AB447C9131FFB153BDDC4B_13</vt:lpwstr>
  </property>
</Properties>
</file>