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0" w:line="560" w:lineRule="exact"/>
        <w:ind w:left="0" w:firstLine="0" w:firstLineChars="0"/>
        <w:jc w:val="center"/>
        <w:textAlignment w:val="auto"/>
        <w:rPr>
          <w:rFonts w:ascii="方正小标宋简体" w:hAnsi="方正小标宋简体" w:eastAsia="方正小标宋简体" w:cs="方正小标宋简体"/>
          <w:color w:val="000000"/>
          <w:spacing w:val="0"/>
          <w:kern w:val="2"/>
          <w:sz w:val="44"/>
          <w:szCs w:val="44"/>
        </w:rPr>
      </w:pPr>
    </w:p>
    <w:p>
      <w:pPr>
        <w:keepNext w:val="0"/>
        <w:keepLines w:val="0"/>
        <w:pageBreakBefore w:val="0"/>
        <w:widowControl w:val="0"/>
        <w:kinsoku/>
        <w:wordWrap/>
        <w:overflowPunct/>
        <w:topLinePunct w:val="0"/>
        <w:autoSpaceDE/>
        <w:autoSpaceDN/>
        <w:bidi w:val="0"/>
        <w:snapToGrid/>
        <w:spacing w:line="560" w:lineRule="exact"/>
        <w:ind w:left="0" w:firstLine="0" w:firstLineChars="0"/>
        <w:jc w:val="center"/>
        <w:textAlignment w:val="auto"/>
        <w:rPr>
          <w:rFonts w:ascii="Times New Roman" w:hAnsi="Times New Roman" w:eastAsia="宋体" w:cs="Times New Roman"/>
          <w:b w:val="0"/>
          <w:bCs w:val="0"/>
          <w:color w:val="000000"/>
          <w:spacing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spacing w:after="0" w:line="560" w:lineRule="exact"/>
        <w:ind w:left="0" w:firstLine="0" w:firstLineChars="0"/>
        <w:jc w:val="center"/>
        <w:textAlignment w:val="auto"/>
        <w:rPr>
          <w:rFonts w:ascii="方正小标宋简体" w:hAnsi="方正小标宋简体" w:eastAsia="方正小标宋简体" w:cs="方正小标宋简体"/>
          <w:b w:val="0"/>
          <w:bCs w:val="0"/>
          <w:color w:val="000000"/>
          <w:spacing w:val="0"/>
          <w:kern w:val="2"/>
          <w:sz w:val="44"/>
          <w:szCs w:val="44"/>
        </w:rPr>
      </w:pPr>
    </w:p>
    <w:p>
      <w:pPr>
        <w:keepNext w:val="0"/>
        <w:keepLines w:val="0"/>
        <w:pageBreakBefore w:val="0"/>
        <w:widowControl w:val="0"/>
        <w:kinsoku/>
        <w:wordWrap/>
        <w:overflowPunct/>
        <w:topLinePunct w:val="0"/>
        <w:autoSpaceDE/>
        <w:autoSpaceDN/>
        <w:bidi w:val="0"/>
        <w:adjustRightInd w:val="0"/>
        <w:snapToGrid/>
        <w:spacing w:after="0" w:line="560" w:lineRule="exact"/>
        <w:ind w:left="0" w:firstLine="0" w:firstLineChars="0"/>
        <w:jc w:val="center"/>
        <w:textAlignment w:val="auto"/>
        <w:rPr>
          <w:rFonts w:ascii="方正小标宋简体" w:hAnsi="方正小标宋简体" w:eastAsia="方正小标宋简体" w:cs="方正小标宋简体"/>
          <w:b w:val="0"/>
          <w:bCs w:val="0"/>
          <w:color w:val="000000"/>
          <w:spacing w:val="0"/>
          <w:kern w:val="2"/>
          <w:sz w:val="44"/>
          <w:szCs w:val="44"/>
        </w:rPr>
      </w:pPr>
    </w:p>
    <w:p>
      <w:pPr>
        <w:keepNext w:val="0"/>
        <w:keepLines w:val="0"/>
        <w:pageBreakBefore w:val="0"/>
        <w:widowControl w:val="0"/>
        <w:kinsoku/>
        <w:wordWrap/>
        <w:overflowPunct/>
        <w:topLinePunct w:val="0"/>
        <w:autoSpaceDE/>
        <w:autoSpaceDN/>
        <w:bidi w:val="0"/>
        <w:snapToGrid/>
        <w:spacing w:line="560" w:lineRule="exact"/>
        <w:ind w:left="0" w:firstLine="0" w:firstLineChars="0"/>
        <w:jc w:val="center"/>
        <w:textAlignment w:val="auto"/>
        <w:rPr>
          <w:rFonts w:ascii="Times New Roman" w:hAnsi="Times New Roman" w:eastAsia="宋体" w:cs="Times New Roman"/>
          <w:b w:val="0"/>
          <w:bCs w:val="0"/>
          <w:color w:val="000000"/>
          <w:spacing w:val="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spacing w:after="0" w:line="560" w:lineRule="exact"/>
        <w:ind w:left="0" w:firstLine="0" w:firstLineChars="0"/>
        <w:jc w:val="center"/>
        <w:textAlignment w:val="auto"/>
        <w:rPr>
          <w:rFonts w:ascii="方正小标宋简体" w:hAnsi="方正小标宋简体" w:eastAsia="方正小标宋简体" w:cs="方正小标宋简体"/>
          <w:b w:val="0"/>
          <w:bCs w:val="0"/>
          <w:color w:val="000000"/>
          <w:spacing w:val="0"/>
          <w:kern w:val="2"/>
          <w:sz w:val="44"/>
          <w:szCs w:val="44"/>
        </w:rPr>
      </w:pPr>
    </w:p>
    <w:p>
      <w:pPr>
        <w:keepNext w:val="0"/>
        <w:keepLines w:val="0"/>
        <w:pageBreakBefore w:val="0"/>
        <w:widowControl w:val="0"/>
        <w:kinsoku/>
        <w:wordWrap/>
        <w:overflowPunct/>
        <w:topLinePunct w:val="0"/>
        <w:autoSpaceDE/>
        <w:autoSpaceDN/>
        <w:bidi w:val="0"/>
        <w:adjustRightInd w:val="0"/>
        <w:snapToGrid/>
        <w:spacing w:after="0" w:line="560" w:lineRule="exact"/>
        <w:ind w:left="0" w:firstLine="0" w:firstLineChars="0"/>
        <w:jc w:val="center"/>
        <w:textAlignment w:val="auto"/>
        <w:rPr>
          <w:rFonts w:ascii="方正小标宋简体" w:hAnsi="方正小标宋简体" w:eastAsia="方正小标宋简体" w:cs="方正小标宋简体"/>
          <w:b w:val="0"/>
          <w:bCs w:val="0"/>
          <w:color w:val="000000"/>
          <w:spacing w:val="0"/>
          <w:kern w:val="2"/>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仿宋_GB2312" w:hAnsi="仿宋_GB2312" w:eastAsia="仿宋_GB2312" w:cs="仿宋_GB2312"/>
          <w:b w:val="0"/>
          <w:bCs w:val="0"/>
          <w:color w:val="000000"/>
          <w:spacing w:val="0"/>
          <w:kern w:val="2"/>
          <w:sz w:val="32"/>
          <w:szCs w:val="32"/>
        </w:rPr>
      </w:pPr>
      <w:r>
        <w:rPr>
          <w:rFonts w:hint="eastAsia" w:ascii="仿宋_GB2312" w:hAnsi="仿宋_GB2312" w:eastAsia="仿宋_GB2312" w:cs="仿宋_GB2312"/>
          <w:b w:val="0"/>
          <w:bCs w:val="0"/>
          <w:color w:val="000000"/>
          <w:spacing w:val="0"/>
          <w:kern w:val="2"/>
          <w:sz w:val="32"/>
          <w:szCs w:val="32"/>
        </w:rPr>
        <w:t>禹</w:t>
      </w:r>
      <w:r>
        <w:rPr>
          <w:rFonts w:hint="eastAsia" w:ascii="仿宋_GB2312" w:hAnsi="仿宋_GB2312" w:eastAsia="仿宋_GB2312" w:cs="仿宋_GB2312"/>
          <w:b w:val="0"/>
          <w:bCs w:val="0"/>
          <w:color w:val="000000"/>
          <w:spacing w:val="0"/>
          <w:kern w:val="2"/>
          <w:sz w:val="32"/>
          <w:szCs w:val="32"/>
          <w:lang w:eastAsia="zh-CN"/>
        </w:rPr>
        <w:t>办发</w:t>
      </w:r>
      <w:r>
        <w:rPr>
          <w:rFonts w:hint="eastAsia" w:ascii="仿宋_GB2312" w:hAnsi="仿宋_GB2312" w:eastAsia="仿宋_GB2312" w:cs="仿宋_GB2312"/>
          <w:b w:val="0"/>
          <w:bCs w:val="0"/>
          <w:color w:val="000000"/>
          <w:spacing w:val="0"/>
          <w:kern w:val="2"/>
          <w:sz w:val="32"/>
          <w:szCs w:val="32"/>
        </w:rPr>
        <w:t>〔</w:t>
      </w:r>
      <w:r>
        <w:rPr>
          <w:rFonts w:hint="default" w:ascii="Times New Roman" w:hAnsi="Times New Roman" w:eastAsia="仿宋_GB2312" w:cs="Times New Roman"/>
          <w:b w:val="0"/>
          <w:bCs w:val="0"/>
          <w:color w:val="000000"/>
          <w:spacing w:val="0"/>
          <w:kern w:val="2"/>
          <w:sz w:val="32"/>
          <w:szCs w:val="32"/>
          <w:lang w:eastAsia="zh-CN"/>
        </w:rPr>
        <w:t>202</w:t>
      </w:r>
      <w:r>
        <w:rPr>
          <w:rFonts w:hint="default" w:ascii="Times New Roman" w:hAnsi="Times New Roman" w:eastAsia="仿宋_GB2312" w:cs="Times New Roman"/>
          <w:b w:val="0"/>
          <w:bCs w:val="0"/>
          <w:color w:val="000000"/>
          <w:spacing w:val="0"/>
          <w:kern w:val="2"/>
          <w:sz w:val="32"/>
          <w:szCs w:val="32"/>
          <w:lang w:val="en-US" w:eastAsia="zh-CN"/>
        </w:rPr>
        <w:t>4</w:t>
      </w:r>
      <w:r>
        <w:rPr>
          <w:rFonts w:hint="eastAsia" w:ascii="仿宋_GB2312" w:hAnsi="仿宋_GB2312" w:eastAsia="仿宋_GB2312" w:cs="仿宋_GB2312"/>
          <w:b w:val="0"/>
          <w:bCs w:val="0"/>
          <w:color w:val="000000"/>
          <w:spacing w:val="0"/>
          <w:kern w:val="2"/>
          <w:sz w:val="32"/>
          <w:szCs w:val="32"/>
        </w:rPr>
        <w:t>〕</w:t>
      </w:r>
      <w:r>
        <w:rPr>
          <w:rFonts w:hint="default" w:ascii="Times New Roman" w:hAnsi="Times New Roman" w:eastAsia="仿宋_GB2312" w:cs="Times New Roman"/>
          <w:b w:val="0"/>
          <w:bCs w:val="0"/>
          <w:color w:val="000000"/>
          <w:spacing w:val="0"/>
          <w:kern w:val="2"/>
          <w:sz w:val="32"/>
          <w:szCs w:val="32"/>
          <w:lang w:val="en-US" w:eastAsia="zh-CN"/>
        </w:rPr>
        <w:t>4</w:t>
      </w:r>
      <w:r>
        <w:rPr>
          <w:rFonts w:hint="eastAsia" w:ascii="仿宋_GB2312" w:hAnsi="仿宋_GB2312" w:eastAsia="仿宋_GB2312" w:cs="仿宋_GB2312"/>
          <w:b w:val="0"/>
          <w:bCs w:val="0"/>
          <w:color w:val="000000"/>
          <w:spacing w:val="0"/>
          <w:kern w:val="2"/>
          <w:sz w:val="32"/>
          <w:szCs w:val="32"/>
        </w:rPr>
        <w:t>号</w:t>
      </w:r>
    </w:p>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方正小标宋简体" w:hAnsi="方正小标宋简体" w:eastAsia="方正小标宋简体" w:cs="方正小标宋简体"/>
          <w:b w:val="0"/>
          <w:bCs w:val="0"/>
          <w:color w:val="000000"/>
          <w:spacing w:val="0"/>
          <w:kern w:val="2"/>
          <w:sz w:val="44"/>
          <w:szCs w:val="44"/>
        </w:rPr>
      </w:pPr>
    </w:p>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方正小标宋简体" w:hAnsi="方正小标宋简体" w:eastAsia="方正小标宋简体" w:cs="方正小标宋简体"/>
          <w:b w:val="0"/>
          <w:bCs w:val="0"/>
          <w:color w:val="000000"/>
          <w:spacing w:val="0"/>
          <w:kern w:val="2"/>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pacing w:val="0"/>
          <w:sz w:val="44"/>
          <w:szCs w:val="44"/>
        </w:rPr>
      </w:pPr>
      <w:r>
        <w:rPr>
          <w:rFonts w:hint="eastAsia" w:ascii="方正小标宋简体" w:hAnsi="方正小标宋简体" w:eastAsia="方正小标宋简体" w:cs="方正小标宋简体"/>
          <w:b w:val="0"/>
          <w:bCs w:val="0"/>
          <w:color w:val="000000"/>
          <w:spacing w:val="0"/>
          <w:sz w:val="44"/>
          <w:szCs w:val="44"/>
        </w:rPr>
        <w:t>中共禹会区委办公室  禹会区人民政府办公室</w:t>
      </w: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新宋体" w:eastAsia="方正小标宋简体" w:cs="新宋体"/>
          <w:b w:val="0"/>
          <w:bCs w:val="0"/>
          <w:color w:val="000000"/>
          <w:spacing w:val="0"/>
          <w:sz w:val="44"/>
          <w:szCs w:val="44"/>
          <w:lang w:eastAsia="zh-CN"/>
        </w:rPr>
        <w:t>关于印发《</w:t>
      </w:r>
      <w:r>
        <w:rPr>
          <w:rFonts w:hint="eastAsia" w:ascii="方正小标宋简体" w:hAnsi="方正小标宋简体" w:eastAsia="方正小标宋简体" w:cs="方正小标宋简体"/>
          <w:b w:val="0"/>
          <w:bCs w:val="0"/>
          <w:sz w:val="44"/>
          <w:szCs w:val="44"/>
        </w:rPr>
        <w:t>禹会区</w:t>
      </w:r>
      <w:r>
        <w:rPr>
          <w:rFonts w:hint="default" w:ascii="Times New Roman" w:hAnsi="Times New Roman" w:eastAsia="方正小标宋简体" w:cs="Times New Roman"/>
          <w:b w:val="0"/>
          <w:bCs w:val="0"/>
          <w:sz w:val="44"/>
          <w:szCs w:val="44"/>
        </w:rPr>
        <w:t>2024</w:t>
      </w:r>
      <w:r>
        <w:rPr>
          <w:rFonts w:hint="eastAsia" w:ascii="方正小标宋简体" w:hAnsi="方正小标宋简体" w:eastAsia="方正小标宋简体" w:cs="方正小标宋简体"/>
          <w:b w:val="0"/>
          <w:bCs w:val="0"/>
          <w:sz w:val="44"/>
          <w:szCs w:val="44"/>
        </w:rPr>
        <w:t>年度招商引资工作</w:t>
      </w: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b w:val="0"/>
          <w:bCs w:val="0"/>
          <w:color w:val="000000"/>
          <w:spacing w:val="0"/>
          <w:sz w:val="44"/>
          <w:szCs w:val="44"/>
        </w:rPr>
      </w:pPr>
      <w:r>
        <w:rPr>
          <w:rFonts w:hint="eastAsia" w:ascii="方正小标宋简体" w:hAnsi="方正小标宋简体" w:eastAsia="方正小标宋简体" w:cs="方正小标宋简体"/>
          <w:b w:val="0"/>
          <w:bCs w:val="0"/>
          <w:sz w:val="44"/>
          <w:szCs w:val="44"/>
        </w:rPr>
        <w:t>实施方案</w:t>
      </w:r>
      <w:r>
        <w:rPr>
          <w:rFonts w:hint="eastAsia" w:ascii="方正小标宋简体" w:hAnsi="新宋体" w:eastAsia="方正小标宋简体" w:cs="新宋体"/>
          <w:b w:val="0"/>
          <w:bCs w:val="0"/>
          <w:color w:val="000000"/>
          <w:spacing w:val="0"/>
          <w:sz w:val="44"/>
          <w:szCs w:val="44"/>
          <w:lang w:eastAsia="zh-CN"/>
        </w:rPr>
        <w:t>》的通知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b w:val="0"/>
          <w:bCs w:val="0"/>
          <w:spacing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各党（工）委、党组，各乡镇人民政府、街道办事处，区直各部门：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rPr>
      </w:pPr>
      <w:r>
        <w:rPr>
          <w:rFonts w:hint="eastAsia" w:ascii="仿宋_GB2312" w:hAnsi="Times New Roman" w:eastAsia="仿宋_GB2312" w:cs="MingLiU"/>
          <w:b w:val="0"/>
          <w:bCs w:val="0"/>
          <w:color w:val="000000"/>
          <w:spacing w:val="0"/>
          <w:kern w:val="0"/>
          <w:sz w:val="32"/>
          <w:szCs w:val="32"/>
        </w:rPr>
        <w:t>《禹会区</w:t>
      </w:r>
      <w:r>
        <w:rPr>
          <w:rFonts w:hint="default" w:ascii="Times New Roman" w:hAnsi="Times New Roman" w:eastAsia="仿宋_GB2312" w:cs="Times New Roman"/>
          <w:b w:val="0"/>
          <w:bCs w:val="0"/>
          <w:color w:val="000000"/>
          <w:spacing w:val="0"/>
          <w:kern w:val="0"/>
          <w:sz w:val="32"/>
          <w:szCs w:val="32"/>
        </w:rPr>
        <w:t>2024</w:t>
      </w:r>
      <w:r>
        <w:rPr>
          <w:rFonts w:hint="eastAsia" w:ascii="仿宋_GB2312" w:hAnsi="Times New Roman" w:eastAsia="仿宋_GB2312" w:cs="MingLiU"/>
          <w:b w:val="0"/>
          <w:bCs w:val="0"/>
          <w:color w:val="000000"/>
          <w:spacing w:val="0"/>
          <w:kern w:val="0"/>
          <w:sz w:val="32"/>
          <w:szCs w:val="32"/>
        </w:rPr>
        <w:t>年度招商引资工作实施方案》</w:t>
      </w:r>
      <w:r>
        <w:rPr>
          <w:rFonts w:hint="eastAsia" w:ascii="仿宋_GB2312" w:hAnsi="仿宋_GB2312" w:eastAsia="仿宋_GB2312" w:cs="仿宋_GB2312"/>
          <w:b w:val="0"/>
          <w:bCs w:val="0"/>
          <w:spacing w:val="0"/>
          <w:sz w:val="32"/>
          <w:szCs w:val="32"/>
        </w:rPr>
        <w:t>已经</w:t>
      </w:r>
      <w:r>
        <w:rPr>
          <w:rFonts w:hint="eastAsia" w:ascii="仿宋_GB2312" w:hAnsi="仿宋_GB2312" w:eastAsia="仿宋_GB2312" w:cs="仿宋_GB2312"/>
          <w:b w:val="0"/>
          <w:bCs w:val="0"/>
          <w:spacing w:val="0"/>
          <w:sz w:val="32"/>
          <w:szCs w:val="32"/>
          <w:lang w:eastAsia="zh-CN"/>
        </w:rPr>
        <w:t>区委、</w:t>
      </w:r>
      <w:r>
        <w:rPr>
          <w:rFonts w:hint="eastAsia" w:ascii="仿宋_GB2312" w:hAnsi="仿宋_GB2312" w:eastAsia="仿宋_GB2312" w:cs="仿宋_GB2312"/>
          <w:b w:val="0"/>
          <w:bCs w:val="0"/>
          <w:spacing w:val="0"/>
          <w:sz w:val="32"/>
          <w:szCs w:val="32"/>
        </w:rPr>
        <w:t>区政府</w:t>
      </w:r>
      <w:r>
        <w:rPr>
          <w:rFonts w:hint="eastAsia" w:ascii="仿宋_GB2312" w:hAnsi="仿宋_GB2312" w:eastAsia="仿宋_GB2312" w:cs="仿宋_GB2312"/>
          <w:b w:val="0"/>
          <w:bCs w:val="0"/>
          <w:spacing w:val="0"/>
          <w:sz w:val="32"/>
          <w:szCs w:val="32"/>
          <w:lang w:eastAsia="zh-CN"/>
        </w:rPr>
        <w:t>研究</w:t>
      </w:r>
      <w:r>
        <w:rPr>
          <w:rFonts w:hint="eastAsia" w:ascii="仿宋_GB2312" w:hAnsi="仿宋_GB2312" w:eastAsia="仿宋_GB2312" w:cs="仿宋_GB2312"/>
          <w:b w:val="0"/>
          <w:bCs w:val="0"/>
          <w:spacing w:val="0"/>
          <w:sz w:val="32"/>
          <w:szCs w:val="32"/>
        </w:rPr>
        <w:t>同意</w:t>
      </w:r>
      <w:r>
        <w:rPr>
          <w:rFonts w:hint="eastAsia" w:ascii="仿宋_GB2312" w:hAnsi="仿宋_GB2312" w:eastAsia="仿宋_GB2312" w:cs="仿宋_GB2312"/>
          <w:b w:val="0"/>
          <w:bCs w:val="0"/>
          <w:spacing w:val="0"/>
          <w:kern w:val="2"/>
          <w:sz w:val="32"/>
          <w:szCs w:val="32"/>
          <w:lang w:val="en-US" w:eastAsia="zh-CN"/>
        </w:rPr>
        <w:t>，现印发给你们，请遵照执行。</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MingLiU"/>
          <w:b w:val="0"/>
          <w:bCs w:val="0"/>
          <w:color w:val="000000"/>
          <w:spacing w:val="0"/>
          <w:kern w:val="0"/>
          <w:sz w:val="32"/>
          <w:szCs w:val="32"/>
          <w:lang w:val="en-US" w:eastAsia="zh-CN" w:bidi="ar-SA"/>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MingLiU"/>
          <w:b w:val="0"/>
          <w:bCs w:val="0"/>
          <w:color w:val="000000"/>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ascii="仿宋_GB2312" w:hAnsi="仿宋_GB2312" w:eastAsia="仿宋_GB2312" w:cs="仿宋_GB2312"/>
          <w:b w:val="0"/>
          <w:bCs w:val="0"/>
          <w:spacing w:val="0"/>
          <w:sz w:val="32"/>
          <w:szCs w:val="32"/>
        </w:rPr>
      </w:pPr>
      <w:r>
        <w:rPr>
          <w:rFonts w:ascii="仿宋_GB2312" w:hAnsi="仿宋_GB2312" w:eastAsia="仿宋_GB2312" w:cs="仿宋_GB2312"/>
          <w:b w:val="0"/>
          <w:bCs w:val="0"/>
          <w:spacing w:val="0"/>
          <w:w w:val="100"/>
          <w:sz w:val="32"/>
          <w:szCs w:val="32"/>
        </w:rPr>
        <w:t>中共蚌埠市禹会区委办公室</w:t>
      </w:r>
      <w:r>
        <w:rPr>
          <w:rFonts w:hint="eastAsia" w:ascii="仿宋_GB2312" w:hAnsi="仿宋_GB2312" w:eastAsia="仿宋_GB2312" w:cs="仿宋_GB2312"/>
          <w:b w:val="0"/>
          <w:bCs w:val="0"/>
          <w:spacing w:val="0"/>
          <w:w w:val="100"/>
          <w:sz w:val="32"/>
          <w:szCs w:val="32"/>
          <w:lang w:val="en-US" w:eastAsia="zh-CN"/>
        </w:rPr>
        <w:t xml:space="preserve">    </w:t>
      </w:r>
      <w:r>
        <w:rPr>
          <w:rFonts w:ascii="仿宋_GB2312" w:hAnsi="仿宋_GB2312" w:eastAsia="仿宋_GB2312" w:cs="仿宋_GB2312"/>
          <w:b w:val="0"/>
          <w:bCs w:val="0"/>
          <w:spacing w:val="0"/>
          <w:sz w:val="32"/>
          <w:szCs w:val="32"/>
        </w:rPr>
        <w:t>蚌埠市禹会区人民政府办公室</w:t>
      </w:r>
    </w:p>
    <w:p>
      <w:pPr>
        <w:keepNext w:val="0"/>
        <w:keepLines w:val="0"/>
        <w:pageBreakBefore w:val="0"/>
        <w:widowControl w:val="0"/>
        <w:kinsoku/>
        <w:wordWrap/>
        <w:overflowPunct/>
        <w:topLinePunct w:val="0"/>
        <w:bidi w:val="0"/>
        <w:snapToGrid w:val="0"/>
        <w:spacing w:line="560" w:lineRule="exact"/>
        <w:ind w:right="1283" w:rightChars="611" w:firstLine="640"/>
        <w:jc w:val="right"/>
        <w:textAlignment w:val="auto"/>
        <w:rPr>
          <w:rFonts w:hint="eastAsia" w:eastAsia="方正小标宋简体"/>
          <w:b w:val="0"/>
          <w:bCs w:val="0"/>
          <w:color w:val="000000"/>
          <w:spacing w:val="0"/>
          <w:sz w:val="44"/>
          <w:szCs w:val="44"/>
          <w:highlight w:val="none"/>
        </w:rPr>
      </w:pPr>
      <w:r>
        <w:rPr>
          <w:rFonts w:hint="default" w:ascii="Times New Roman" w:hAnsi="Times New Roman" w:eastAsia="仿宋_GB2312" w:cs="Times New Roman"/>
          <w:b w:val="0"/>
          <w:bCs w:val="0"/>
          <w:spacing w:val="0"/>
          <w:sz w:val="32"/>
          <w:szCs w:val="32"/>
          <w:highlight w:val="none"/>
          <w:lang w:eastAsia="zh-CN"/>
        </w:rPr>
        <w:t>202</w:t>
      </w:r>
      <w:r>
        <w:rPr>
          <w:rFonts w:hint="default" w:ascii="Times New Roman" w:hAnsi="Times New Roman" w:eastAsia="仿宋_GB2312" w:cs="Times New Roman"/>
          <w:b w:val="0"/>
          <w:bCs w:val="0"/>
          <w:spacing w:val="0"/>
          <w:sz w:val="32"/>
          <w:szCs w:val="32"/>
          <w:highlight w:val="none"/>
          <w:lang w:val="en-US" w:eastAsia="zh-CN"/>
        </w:rPr>
        <w:t>4</w:t>
      </w:r>
      <w:r>
        <w:rPr>
          <w:rFonts w:ascii="仿宋_GB2312" w:hAnsi="仿宋_GB2312" w:eastAsia="仿宋_GB2312" w:cs="仿宋_GB2312"/>
          <w:b w:val="0"/>
          <w:bCs w:val="0"/>
          <w:spacing w:val="0"/>
          <w:sz w:val="32"/>
          <w:szCs w:val="32"/>
          <w:highlight w:val="none"/>
        </w:rPr>
        <w:t>年</w:t>
      </w:r>
      <w:r>
        <w:rPr>
          <w:rFonts w:hint="default" w:ascii="Times New Roman" w:hAnsi="Times New Roman" w:eastAsia="仿宋_GB2312" w:cs="Times New Roman"/>
          <w:b w:val="0"/>
          <w:bCs w:val="0"/>
          <w:spacing w:val="0"/>
          <w:sz w:val="32"/>
          <w:szCs w:val="32"/>
          <w:highlight w:val="none"/>
          <w:lang w:val="en-US" w:eastAsia="zh-CN"/>
        </w:rPr>
        <w:t>2</w:t>
      </w:r>
      <w:r>
        <w:rPr>
          <w:rFonts w:ascii="仿宋_GB2312" w:hAnsi="仿宋_GB2312" w:eastAsia="仿宋_GB2312" w:cs="仿宋_GB2312"/>
          <w:b w:val="0"/>
          <w:bCs w:val="0"/>
          <w:spacing w:val="0"/>
          <w:sz w:val="32"/>
          <w:szCs w:val="32"/>
          <w:highlight w:val="none"/>
        </w:rPr>
        <w:t>月</w:t>
      </w:r>
      <w:r>
        <w:rPr>
          <w:rFonts w:hint="default" w:ascii="Times New Roman" w:hAnsi="Times New Roman" w:eastAsia="仿宋_GB2312" w:cs="Times New Roman"/>
          <w:b w:val="0"/>
          <w:bCs w:val="0"/>
          <w:spacing w:val="0"/>
          <w:sz w:val="32"/>
          <w:szCs w:val="32"/>
          <w:highlight w:val="none"/>
          <w:lang w:val="en-US" w:eastAsia="zh-CN"/>
        </w:rPr>
        <w:t>20</w:t>
      </w:r>
      <w:r>
        <w:rPr>
          <w:rFonts w:hint="eastAsia" w:ascii="仿宋_GB2312" w:hAnsi="仿宋_GB2312" w:eastAsia="仿宋_GB2312" w:cs="仿宋_GB2312"/>
          <w:b w:val="0"/>
          <w:bCs w:val="0"/>
          <w:spacing w:val="0"/>
          <w:sz w:val="32"/>
          <w:szCs w:val="32"/>
          <w:highlight w:val="none"/>
          <w:lang w:val="en-US"/>
        </w:rPr>
        <w:t>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Times New Roman" w:eastAsia="仿宋_GB2312" w:cs="MingLiU"/>
          <w:b w:val="0"/>
          <w:bCs w:val="0"/>
          <w:color w:val="000000"/>
          <w:spacing w:val="0"/>
          <w:kern w:val="0"/>
          <w:sz w:val="32"/>
          <w:szCs w:val="32"/>
        </w:rPr>
      </w:pPr>
      <w:r>
        <w:rPr>
          <w:rFonts w:hint="eastAsia" w:ascii="仿宋_GB2312" w:hAnsi="Times New Roman" w:eastAsia="仿宋_GB2312" w:cs="MingLiU"/>
          <w:b w:val="0"/>
          <w:bCs w:val="0"/>
          <w:color w:val="000000"/>
          <w:spacing w:val="0"/>
          <w:kern w:val="0"/>
          <w:sz w:val="32"/>
          <w:szCs w:val="32"/>
        </w:rPr>
        <w:br w:type="page"/>
      </w: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禹会区</w:t>
      </w:r>
      <w:r>
        <w:rPr>
          <w:rFonts w:hint="default" w:ascii="Times New Roman" w:hAnsi="Times New Roman" w:eastAsia="方正小标宋简体" w:cs="Times New Roman"/>
          <w:b w:val="0"/>
          <w:bCs w:val="0"/>
          <w:sz w:val="44"/>
          <w:szCs w:val="44"/>
        </w:rPr>
        <w:t>2024</w:t>
      </w:r>
      <w:r>
        <w:rPr>
          <w:rFonts w:hint="eastAsia" w:ascii="方正小标宋简体" w:hAnsi="方正小标宋简体" w:eastAsia="方正小标宋简体" w:cs="方正小标宋简体"/>
          <w:b w:val="0"/>
          <w:bCs w:val="0"/>
          <w:sz w:val="44"/>
          <w:szCs w:val="44"/>
        </w:rPr>
        <w:t>年度招商引资工作实施方案</w:t>
      </w:r>
    </w:p>
    <w:p>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eastAsia" w:ascii="仿宋_GB2312" w:hAnsi="仿宋_GB2312" w:eastAsia="仿宋_GB2312" w:cs="仿宋_GB2312"/>
          <w:b w:val="0"/>
          <w:bCs w:val="0"/>
          <w:sz w:val="32"/>
          <w:szCs w:val="32"/>
        </w:rPr>
      </w:pPr>
    </w:p>
    <w:p>
      <w:pPr>
        <w:pStyle w:val="3"/>
        <w:keepNext w:val="0"/>
        <w:keepLines w:val="0"/>
        <w:pageBreakBefore w:val="0"/>
        <w:kinsoku/>
        <w:wordWrap/>
        <w:overflowPunct/>
        <w:topLinePunct w:val="0"/>
        <w:autoSpaceDE/>
        <w:autoSpaceDN/>
        <w:bidi w:val="0"/>
        <w:spacing w:line="560" w:lineRule="exact"/>
        <w:ind w:left="0" w:leftChars="0" w:right="0" w:firstLine="640" w:firstLineChars="200"/>
        <w:jc w:val="both"/>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为深入贯彻落实党的二十大精神，深度聚焦产业集群发展，围绕我区新一代信息显示、新能源新材料、高端装备制造、商业航天为主的四大主导产业，高位推进招商引资质量和实效，全面提升我区经济高质量发展，经研究，制定本实施方案。</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一、目标任务</w:t>
      </w:r>
    </w:p>
    <w:p>
      <w:pPr>
        <w:keepNext w:val="0"/>
        <w:keepLines w:val="0"/>
        <w:pageBreakBefore w:val="0"/>
        <w:widowControl/>
        <w:kinsoku/>
        <w:wordWrap/>
        <w:overflowPunct/>
        <w:topLinePunct w:val="0"/>
        <w:autoSpaceDE/>
        <w:autoSpaceDN/>
        <w:bidi w:val="0"/>
        <w:spacing w:line="560" w:lineRule="exact"/>
        <w:ind w:left="0" w:leftChars="0" w:right="0" w:firstLine="640" w:firstLineChars="200"/>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w:t>
      </w:r>
      <w:r>
        <w:rPr>
          <w:rFonts w:hint="default" w:ascii="Times New Roman" w:hAnsi="Times New Roman" w:eastAsia="仿宋_GB2312" w:cs="Times New Roman"/>
          <w:b w:val="0"/>
          <w:bCs w:val="0"/>
          <w:sz w:val="32"/>
          <w:szCs w:val="32"/>
        </w:rPr>
        <w:t>2024</w:t>
      </w:r>
      <w:r>
        <w:rPr>
          <w:rFonts w:hint="eastAsia" w:ascii="仿宋_GB2312" w:hAnsi="仿宋_GB2312" w:eastAsia="仿宋_GB2312" w:cs="仿宋_GB2312"/>
          <w:b w:val="0"/>
          <w:bCs w:val="0"/>
          <w:sz w:val="32"/>
          <w:szCs w:val="32"/>
        </w:rPr>
        <w:t>年蚌埠市“双招双引”指导目标》相关要求，结合我区实际，</w:t>
      </w:r>
      <w:r>
        <w:rPr>
          <w:rFonts w:hint="default" w:ascii="Times New Roman" w:hAnsi="Times New Roman" w:eastAsia="仿宋_GB2312" w:cs="Times New Roman"/>
          <w:b w:val="0"/>
          <w:bCs w:val="0"/>
          <w:sz w:val="32"/>
          <w:szCs w:val="32"/>
        </w:rPr>
        <w:t>2024</w:t>
      </w:r>
      <w:r>
        <w:rPr>
          <w:rFonts w:hint="eastAsia" w:ascii="仿宋_GB2312" w:hAnsi="仿宋_GB2312" w:eastAsia="仿宋_GB2312" w:cs="仿宋_GB2312"/>
          <w:b w:val="0"/>
          <w:bCs w:val="0"/>
          <w:sz w:val="32"/>
          <w:szCs w:val="32"/>
        </w:rPr>
        <w:t>年全年新签约亿元项目不低于</w:t>
      </w:r>
      <w:r>
        <w:rPr>
          <w:rFonts w:hint="default" w:ascii="Times New Roman" w:hAnsi="Times New Roman" w:eastAsia="仿宋_GB2312" w:cs="Times New Roman"/>
          <w:b w:val="0"/>
          <w:bCs w:val="0"/>
          <w:sz w:val="32"/>
          <w:szCs w:val="32"/>
          <w:lang w:val="en-US" w:eastAsia="zh-CN"/>
        </w:rPr>
        <w:t>60</w:t>
      </w:r>
      <w:r>
        <w:rPr>
          <w:rFonts w:hint="eastAsia" w:ascii="仿宋_GB2312" w:hAnsi="仿宋_GB2312" w:eastAsia="仿宋_GB2312" w:cs="仿宋_GB2312"/>
          <w:b w:val="0"/>
          <w:bCs w:val="0"/>
          <w:sz w:val="32"/>
          <w:szCs w:val="32"/>
        </w:rPr>
        <w:t>个，其中亿元以上制造业项目不低于</w:t>
      </w:r>
      <w:r>
        <w:rPr>
          <w:rFonts w:hint="default" w:ascii="Times New Roman" w:hAnsi="Times New Roman" w:eastAsia="仿宋_GB2312" w:cs="Times New Roman"/>
          <w:b w:val="0"/>
          <w:bCs w:val="0"/>
          <w:sz w:val="32"/>
          <w:szCs w:val="32"/>
          <w:lang w:val="en-US" w:eastAsia="zh-CN"/>
        </w:rPr>
        <w:t>50</w:t>
      </w:r>
      <w:r>
        <w:rPr>
          <w:rFonts w:hint="eastAsia" w:ascii="仿宋_GB2312" w:hAnsi="仿宋_GB2312" w:eastAsia="仿宋_GB2312" w:cs="仿宋_GB2312"/>
          <w:b w:val="0"/>
          <w:bCs w:val="0"/>
          <w:sz w:val="32"/>
          <w:szCs w:val="32"/>
        </w:rPr>
        <w:t>个，</w:t>
      </w:r>
      <w:r>
        <w:rPr>
          <w:rFonts w:hint="default" w:ascii="Times New Roman" w:hAnsi="Times New Roman" w:eastAsia="仿宋_GB2312" w:cs="Times New Roman"/>
          <w:b w:val="0"/>
          <w:bCs w:val="0"/>
          <w:sz w:val="32"/>
          <w:szCs w:val="32"/>
        </w:rPr>
        <w:t>10</w:t>
      </w:r>
      <w:r>
        <w:rPr>
          <w:rFonts w:hint="eastAsia" w:ascii="仿宋_GB2312" w:hAnsi="仿宋_GB2312" w:eastAsia="仿宋_GB2312" w:cs="仿宋_GB2312"/>
          <w:b w:val="0"/>
          <w:bCs w:val="0"/>
          <w:sz w:val="32"/>
          <w:szCs w:val="32"/>
        </w:rPr>
        <w:t>亿元以上制造业项目不低于</w:t>
      </w:r>
      <w:r>
        <w:rPr>
          <w:rFonts w:hint="default" w:ascii="Times New Roman" w:hAnsi="Times New Roman" w:eastAsia="仿宋_GB2312" w:cs="Times New Roman"/>
          <w:b w:val="0"/>
          <w:bCs w:val="0"/>
          <w:sz w:val="32"/>
          <w:szCs w:val="32"/>
        </w:rPr>
        <w:t>5</w:t>
      </w:r>
      <w:r>
        <w:rPr>
          <w:rFonts w:hint="eastAsia" w:ascii="仿宋_GB2312" w:hAnsi="仿宋_GB2312" w:eastAsia="仿宋_GB2312" w:cs="仿宋_GB2312"/>
          <w:b w:val="0"/>
          <w:bCs w:val="0"/>
          <w:sz w:val="32"/>
          <w:szCs w:val="32"/>
        </w:rPr>
        <w:t>个、</w:t>
      </w:r>
      <w:r>
        <w:rPr>
          <w:rFonts w:hint="default" w:ascii="Times New Roman" w:hAnsi="Times New Roman" w:eastAsia="仿宋_GB2312" w:cs="Times New Roman"/>
          <w:b w:val="0"/>
          <w:bCs w:val="0"/>
          <w:sz w:val="32"/>
          <w:szCs w:val="32"/>
        </w:rPr>
        <w:t>50</w:t>
      </w:r>
      <w:r>
        <w:rPr>
          <w:rFonts w:hint="eastAsia" w:ascii="仿宋_GB2312" w:hAnsi="仿宋_GB2312" w:eastAsia="仿宋_GB2312" w:cs="仿宋_GB2312"/>
          <w:b w:val="0"/>
          <w:bCs w:val="0"/>
          <w:sz w:val="32"/>
          <w:szCs w:val="32"/>
        </w:rPr>
        <w:t>亿元以上制造业项目不低于</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个，全年新开工亿元以上项目不低于</w:t>
      </w:r>
      <w:r>
        <w:rPr>
          <w:rFonts w:hint="default" w:ascii="Times New Roman" w:hAnsi="Times New Roman" w:eastAsia="仿宋_GB2312" w:cs="Times New Roman"/>
          <w:b w:val="0"/>
          <w:bCs w:val="0"/>
          <w:sz w:val="32"/>
          <w:szCs w:val="32"/>
        </w:rPr>
        <w:t>33</w:t>
      </w:r>
      <w:r>
        <w:rPr>
          <w:rFonts w:hint="eastAsia" w:ascii="仿宋_GB2312" w:hAnsi="仿宋_GB2312" w:eastAsia="仿宋_GB2312" w:cs="仿宋_GB2312"/>
          <w:b w:val="0"/>
          <w:bCs w:val="0"/>
          <w:sz w:val="32"/>
          <w:szCs w:val="32"/>
        </w:rPr>
        <w:t>个，开工入库</w:t>
      </w:r>
      <w:r>
        <w:rPr>
          <w:rFonts w:hint="default" w:ascii="Times New Roman" w:hAnsi="Times New Roman" w:eastAsia="仿宋_GB2312" w:cs="Times New Roman"/>
          <w:b w:val="0"/>
          <w:bCs w:val="0"/>
          <w:sz w:val="32"/>
          <w:szCs w:val="32"/>
        </w:rPr>
        <w:t>10</w:t>
      </w:r>
      <w:r>
        <w:rPr>
          <w:rFonts w:hint="eastAsia" w:ascii="仿宋_GB2312" w:hAnsi="仿宋_GB2312" w:eastAsia="仿宋_GB2312" w:cs="仿宋_GB2312"/>
          <w:b w:val="0"/>
          <w:bCs w:val="0"/>
          <w:sz w:val="32"/>
          <w:szCs w:val="32"/>
        </w:rPr>
        <w:t>亿元以上制造业项目不低于</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个。全年利用省外到位资金增长不低于</w:t>
      </w:r>
      <w:r>
        <w:rPr>
          <w:rFonts w:hint="default" w:ascii="Times New Roman" w:hAnsi="Times New Roman" w:eastAsia="仿宋_GB2312" w:cs="Times New Roman"/>
          <w:b w:val="0"/>
          <w:bCs w:val="0"/>
          <w:sz w:val="32"/>
          <w:szCs w:val="32"/>
        </w:rPr>
        <w:t>8</w:t>
      </w:r>
      <w:r>
        <w:rPr>
          <w:rFonts w:hint="eastAsia" w:ascii="仿宋_GB2312" w:hAnsi="仿宋_GB2312" w:eastAsia="仿宋_GB2312" w:cs="仿宋_GB2312"/>
          <w:b w:val="0"/>
          <w:bCs w:val="0"/>
          <w:sz w:val="32"/>
          <w:szCs w:val="32"/>
        </w:rPr>
        <w:t>%，不低于</w:t>
      </w:r>
      <w:r>
        <w:rPr>
          <w:rFonts w:hint="default" w:ascii="Times New Roman" w:hAnsi="Times New Roman" w:eastAsia="仿宋_GB2312" w:cs="Times New Roman"/>
          <w:b w:val="0"/>
          <w:bCs w:val="0"/>
          <w:sz w:val="32"/>
          <w:szCs w:val="32"/>
        </w:rPr>
        <w:t>76</w:t>
      </w:r>
      <w:r>
        <w:rPr>
          <w:rFonts w:hint="eastAsia" w:ascii="仿宋_GB2312" w:hAnsi="仿宋_GB2312" w:eastAsia="仿宋_GB2312" w:cs="仿宋_GB2312"/>
          <w:b w:val="0"/>
          <w:bCs w:val="0"/>
          <w:sz w:val="32"/>
          <w:szCs w:val="32"/>
        </w:rPr>
        <w:t>亿元。</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二、任务分工</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一类单位（</w:t>
      </w:r>
      <w:r>
        <w:rPr>
          <w:rFonts w:hint="default" w:ascii="Times New Roman" w:hAnsi="Times New Roman" w:eastAsia="仿宋_GB2312" w:cs="Times New Roman"/>
          <w:b w:val="0"/>
          <w:bCs w:val="0"/>
          <w:sz w:val="32"/>
          <w:szCs w:val="32"/>
        </w:rPr>
        <w:t>7</w:t>
      </w:r>
      <w:r>
        <w:rPr>
          <w:rFonts w:hint="eastAsia" w:ascii="仿宋_GB2312" w:hAnsi="仿宋_GB2312" w:eastAsia="仿宋_GB2312" w:cs="仿宋_GB2312"/>
          <w:b w:val="0"/>
          <w:bCs w:val="0"/>
          <w:sz w:val="32"/>
          <w:szCs w:val="32"/>
        </w:rPr>
        <w:t>家）：区发改委、区科技经信局、区商务外事局、区住建交通局、区经济发展服务中心、禹投集团、昇荣集团。</w:t>
      </w:r>
      <w:r>
        <w:rPr>
          <w:rFonts w:hint="eastAsia" w:ascii="仿宋_GB2312" w:hAnsi="仿宋_GB2312" w:eastAsia="仿宋_GB2312" w:cs="仿宋_GB2312"/>
          <w:b w:val="0"/>
          <w:bCs w:val="0"/>
          <w:sz w:val="32"/>
          <w:szCs w:val="32"/>
          <w:lang w:eastAsia="zh-CN"/>
        </w:rPr>
        <w:t>每个单位</w:t>
      </w:r>
      <w:r>
        <w:rPr>
          <w:rFonts w:hint="eastAsia" w:ascii="仿宋_GB2312" w:hAnsi="仿宋_GB2312" w:eastAsia="仿宋_GB2312" w:cs="仿宋_GB2312"/>
          <w:b w:val="0"/>
          <w:bCs w:val="0"/>
          <w:sz w:val="32"/>
          <w:szCs w:val="32"/>
        </w:rPr>
        <w:t>全年完成新签约亿元项目不少于</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个，其中制造业项目不少于</w:t>
      </w: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个。</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二类单位（</w:t>
      </w:r>
      <w:r>
        <w:rPr>
          <w:rFonts w:hint="default" w:ascii="Times New Roman" w:hAnsi="Times New Roman" w:eastAsia="仿宋_GB2312" w:cs="Times New Roman"/>
          <w:b w:val="0"/>
          <w:bCs w:val="0"/>
          <w:sz w:val="32"/>
          <w:szCs w:val="32"/>
        </w:rPr>
        <w:t>19</w:t>
      </w:r>
      <w:r>
        <w:rPr>
          <w:rFonts w:hint="eastAsia" w:ascii="仿宋_GB2312" w:hAnsi="仿宋_GB2312" w:eastAsia="仿宋_GB2312" w:cs="仿宋_GB2312"/>
          <w:b w:val="0"/>
          <w:bCs w:val="0"/>
          <w:sz w:val="32"/>
          <w:szCs w:val="32"/>
        </w:rPr>
        <w:t>家）：区委办公室（督查考核办公室）、区政府办公室、区人大机关、区政协机关、区委组织部（编办）、区委宣传部、区委政法委、区委统战部（工商联）、区财政局、区教育体育局、区人社局、区民政局、区农业农村水利局、区文化和旅游局、区卫生健康委、区市场监督管理局、区城市管理局、区大洪山管委会、区涂山风景区管委会。</w:t>
      </w:r>
      <w:r>
        <w:rPr>
          <w:rFonts w:hint="eastAsia" w:ascii="仿宋_GB2312" w:hAnsi="仿宋_GB2312" w:eastAsia="仿宋_GB2312" w:cs="仿宋_GB2312"/>
          <w:b w:val="0"/>
          <w:bCs w:val="0"/>
          <w:sz w:val="32"/>
          <w:szCs w:val="32"/>
          <w:lang w:eastAsia="zh-CN"/>
        </w:rPr>
        <w:t>每个单位</w:t>
      </w:r>
      <w:r>
        <w:rPr>
          <w:rFonts w:hint="eastAsia" w:ascii="仿宋_GB2312" w:hAnsi="仿宋_GB2312" w:eastAsia="仿宋_GB2312" w:cs="仿宋_GB2312"/>
          <w:b w:val="0"/>
          <w:bCs w:val="0"/>
          <w:sz w:val="32"/>
          <w:szCs w:val="32"/>
        </w:rPr>
        <w:t>全年完成新签约亿元项目不少于</w:t>
      </w: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个，其中制造业项目不少于</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个。</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三类单位（</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rPr>
        <w:t>家）：区直机关工委、区工会、团区委、区妇联、区残联、区文明办、区司法局、区信访局、区医疗保障局、区应急管理局、区审计局、区数据资源管理局、区机关事务管理中心、区退役军人事务管理局。</w:t>
      </w:r>
      <w:r>
        <w:rPr>
          <w:rFonts w:hint="eastAsia" w:ascii="仿宋_GB2312" w:hAnsi="仿宋_GB2312" w:eastAsia="仿宋_GB2312" w:cs="仿宋_GB2312"/>
          <w:b w:val="0"/>
          <w:bCs w:val="0"/>
          <w:sz w:val="32"/>
          <w:szCs w:val="32"/>
          <w:lang w:eastAsia="zh-CN"/>
        </w:rPr>
        <w:t>每个单位</w:t>
      </w:r>
      <w:r>
        <w:rPr>
          <w:rFonts w:hint="eastAsia" w:ascii="仿宋_GB2312" w:hAnsi="仿宋_GB2312" w:eastAsia="仿宋_GB2312" w:cs="仿宋_GB2312"/>
          <w:b w:val="0"/>
          <w:bCs w:val="0"/>
          <w:sz w:val="32"/>
          <w:szCs w:val="32"/>
        </w:rPr>
        <w:t>全年完成新签约亿元项目不少于</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个。</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四类单位（</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个片区招商小分队）：禹会区</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个片区招商小分队（具体名单，见附件</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副县级领导每人全年完成新签约亿元以上制造业项目不少于</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个，其余小分队成员</w:t>
      </w:r>
      <w:r>
        <w:rPr>
          <w:rFonts w:hint="eastAsia" w:ascii="仿宋_GB2312" w:hAnsi="仿宋_GB2312" w:eastAsia="仿宋_GB2312" w:cs="仿宋_GB2312"/>
          <w:b w:val="0"/>
          <w:bCs w:val="0"/>
          <w:sz w:val="32"/>
          <w:szCs w:val="32"/>
        </w:rPr>
        <w:t>结合所在单位项目数完成全年新签约亿元</w:t>
      </w:r>
      <w:r>
        <w:rPr>
          <w:rFonts w:hint="eastAsia" w:ascii="仿宋_GB2312" w:hAnsi="仿宋_GB2312" w:eastAsia="仿宋_GB2312" w:cs="仿宋_GB2312"/>
          <w:b w:val="0"/>
          <w:bCs w:val="0"/>
          <w:sz w:val="32"/>
          <w:szCs w:val="32"/>
          <w:lang w:eastAsia="zh-CN"/>
        </w:rPr>
        <w:t>项目；</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每个小分队完成新签约</w:t>
      </w:r>
      <w:r>
        <w:rPr>
          <w:rFonts w:hint="default" w:ascii="Times New Roman" w:hAnsi="Times New Roman" w:eastAsia="仿宋_GB2312" w:cs="Times New Roman"/>
          <w:b w:val="0"/>
          <w:bCs w:val="0"/>
          <w:sz w:val="32"/>
          <w:szCs w:val="32"/>
        </w:rPr>
        <w:t>10</w:t>
      </w:r>
      <w:r>
        <w:rPr>
          <w:rFonts w:hint="eastAsia" w:ascii="仿宋_GB2312" w:hAnsi="仿宋_GB2312" w:eastAsia="仿宋_GB2312" w:cs="仿宋_GB2312"/>
          <w:b w:val="0"/>
          <w:bCs w:val="0"/>
          <w:sz w:val="32"/>
          <w:szCs w:val="32"/>
        </w:rPr>
        <w:t>亿元制造业项目不少于</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val="0"/>
          <w:bCs w:val="0"/>
          <w:sz w:val="32"/>
          <w:szCs w:val="32"/>
          <w:lang w:eastAsia="zh-CN"/>
        </w:rPr>
        <w:t>、完成新签约外商直接投资（FDI）到资</w:t>
      </w:r>
      <w:r>
        <w:rPr>
          <w:rFonts w:hint="default" w:ascii="Times New Roman" w:hAnsi="Times New Roman" w:eastAsia="仿宋_GB2312" w:cs="Times New Roman"/>
          <w:b w:val="0"/>
          <w:bCs w:val="0"/>
          <w:sz w:val="32"/>
          <w:szCs w:val="32"/>
          <w:lang w:val="en-US" w:eastAsia="zh-CN"/>
        </w:rPr>
        <w:t>200</w:t>
      </w:r>
      <w:r>
        <w:rPr>
          <w:rFonts w:hint="eastAsia" w:ascii="仿宋_GB2312" w:hAnsi="仿宋_GB2312" w:eastAsia="仿宋_GB2312" w:cs="仿宋_GB2312"/>
          <w:b w:val="0"/>
          <w:bCs w:val="0"/>
          <w:sz w:val="32"/>
          <w:szCs w:val="32"/>
          <w:lang w:eastAsia="zh-CN"/>
        </w:rPr>
        <w:t>万美元以上项目不少于</w:t>
      </w:r>
      <w:r>
        <w:rPr>
          <w:rFonts w:hint="default" w:ascii="Times New Roman" w:hAnsi="Times New Roman" w:eastAsia="仿宋_GB2312" w:cs="Times New Roman"/>
          <w:b w:val="0"/>
          <w:bCs w:val="0"/>
          <w:sz w:val="32"/>
          <w:szCs w:val="32"/>
          <w:lang w:eastAsia="zh-CN"/>
        </w:rPr>
        <w:t>1</w:t>
      </w:r>
      <w:r>
        <w:rPr>
          <w:rFonts w:hint="eastAsia" w:ascii="仿宋_GB2312" w:hAnsi="仿宋_GB2312" w:eastAsia="仿宋_GB2312" w:cs="仿宋_GB2312"/>
          <w:b w:val="0"/>
          <w:bCs w:val="0"/>
          <w:sz w:val="32"/>
          <w:szCs w:val="32"/>
          <w:lang w:eastAsia="zh-CN"/>
        </w:rPr>
        <w:t>个</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鼓励乡镇街道及相关单位，积极参与招商引资，但不安排招商引资任务，对引进亿元以上项目签约落地实际引荐人，参照市有关文件规定，给予记功、嘉奖、先进个人奖励。</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强化招商效率，严禁借招商名义外出游玩。招商小组成员外出活动安排，需精简随行人员、压缩拜访行程、厉行节约，原则上每次外出活动出行人员不超过三人，每天至少拜访两到三家企业。若需要项目引荐人一起前往的，由招商小分队自行报销解决差旅费用。</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备注：</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个片区招商小分队涉及单位成员有工作变动，按职务自动调整。</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三、认定范围</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（一）在我区注册经营，有持续经济和社会效益的协议投资额</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亿元（含）以上的项目。</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（二）不列入招商引资考评范围的项目：道路、供水、供电等公共基础设施项目，</w:t>
      </w:r>
      <w:r>
        <w:rPr>
          <w:rFonts w:hint="eastAsia" w:ascii="仿宋_GB2312" w:hAnsi="仿宋_GB2312" w:eastAsia="仿宋_GB2312" w:cs="仿宋_GB2312"/>
          <w:b w:val="0"/>
          <w:bCs w:val="0"/>
          <w:spacing w:val="-2"/>
          <w:sz w:val="32"/>
          <w:szCs w:val="32"/>
        </w:rPr>
        <w:t>电讯、石油、天然气、电力等企业经营服务网点，</w:t>
      </w:r>
      <w:r>
        <w:rPr>
          <w:rFonts w:hint="eastAsia" w:ascii="仿宋_GB2312" w:hAnsi="仿宋_GB2312" w:eastAsia="仿宋_GB2312" w:cs="仿宋_GB2312"/>
          <w:b w:val="0"/>
          <w:bCs w:val="0"/>
          <w:sz w:val="32"/>
          <w:szCs w:val="32"/>
        </w:rPr>
        <w:t>保险，政府投资运营（含PPP项目）的项目，社会各界捐赠项目等。</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（三）本地企业投资新的亿元以上产业项目（新增用地或新租赁厂房、新签订投资协议、在发改部门新备案、新入固定资产投资库）给予认定。综合商业开发项目只认定企业自持部分。</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四、认定标准</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新签约并注册，指</w:t>
      </w:r>
      <w:r>
        <w:rPr>
          <w:rFonts w:hint="eastAsia" w:ascii="仿宋_GB2312" w:hAnsi="仿宋_GB2312" w:eastAsia="仿宋_GB2312" w:cs="仿宋_GB2312"/>
          <w:b w:val="0"/>
          <w:bCs w:val="0"/>
          <w:color w:val="auto"/>
          <w:sz w:val="32"/>
          <w:szCs w:val="32"/>
        </w:rPr>
        <w:t>当年</w:t>
      </w:r>
      <w:r>
        <w:rPr>
          <w:rFonts w:hint="eastAsia" w:ascii="仿宋_GB2312" w:hAnsi="仿宋_GB2312" w:eastAsia="仿宋_GB2312" w:cs="仿宋_GB2312"/>
          <w:b w:val="0"/>
          <w:bCs w:val="0"/>
          <w:color w:val="auto"/>
          <w:sz w:val="32"/>
          <w:szCs w:val="32"/>
          <w:lang w:eastAsia="zh-CN"/>
        </w:rPr>
        <w:t>签订正式合同</w:t>
      </w:r>
      <w:r>
        <w:rPr>
          <w:rFonts w:hint="eastAsia" w:ascii="仿宋_GB2312" w:hAnsi="仿宋_GB2312" w:eastAsia="仿宋_GB2312" w:cs="仿宋_GB2312"/>
          <w:b w:val="0"/>
          <w:bCs w:val="0"/>
          <w:color w:val="auto"/>
          <w:sz w:val="32"/>
          <w:szCs w:val="32"/>
        </w:rPr>
        <w:t>（协议），且已在我区注册；新开工新运营项目，指当年基础</w:t>
      </w:r>
      <w:r>
        <w:rPr>
          <w:rFonts w:hint="eastAsia" w:ascii="仿宋_GB2312" w:hAnsi="仿宋_GB2312" w:eastAsia="仿宋_GB2312" w:cs="仿宋_GB2312"/>
          <w:b w:val="0"/>
          <w:bCs w:val="0"/>
          <w:sz w:val="32"/>
          <w:szCs w:val="32"/>
        </w:rPr>
        <w:t>开挖或租赁厂房开始装修或运营，且已纳入固定资产投资统计库或纳入“四上”企业统计库，当年新签约但未注册、未开工的项目，可纳入下一年度认定。</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五、运行机制</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成立禹会区招商引资工作领导小组（具体名单，见附件</w:t>
      </w: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），主要运行招商引资接洽考察机制、审查签约机制、帮办调度机制、政策兑现机制。</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在禹会区招商引资工作领导小组领导下，对重点重大项目下设资金要素、法律审查、产业尽调</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个专班（具体名单，见附件</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涉及领导小组成员有工作变动，按职务自动调整。</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（一）接洽考察机制</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为高位推进招商引资项目信息挖掘、精准筛选项目，由行业分管区领导任组长，一、二、三、四类单位任组员。责任部门由区投资促进局牵头。</w:t>
      </w:r>
    </w:p>
    <w:p>
      <w:pPr>
        <w:pStyle w:val="3"/>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ascii="仿宋_GB2312" w:hAnsi="仿宋_GB2312" w:eastAsia="仿宋_GB2312" w:cs="仿宋_GB2312"/>
          <w:b w:val="0"/>
          <w:bCs w:val="0"/>
          <w:color w:val="auto"/>
          <w:sz w:val="32"/>
          <w:szCs w:val="32"/>
        </w:rPr>
        <w:t>.信息收集。</w:t>
      </w:r>
      <w:r>
        <w:rPr>
          <w:rFonts w:hint="eastAsia" w:ascii="仿宋_GB2312" w:hAnsi="仿宋_GB2312" w:eastAsia="仿宋_GB2312" w:cs="仿宋_GB2312"/>
          <w:b w:val="0"/>
          <w:bCs w:val="0"/>
          <w:color w:val="auto"/>
          <w:sz w:val="32"/>
          <w:szCs w:val="32"/>
          <w:lang w:eastAsia="zh-CN"/>
        </w:rPr>
        <w:t>区投</w:t>
      </w:r>
      <w:r>
        <w:rPr>
          <w:rFonts w:hint="eastAsia" w:ascii="仿宋_GB2312" w:hAnsi="仿宋_GB2312" w:eastAsia="仿宋_GB2312" w:cs="仿宋_GB2312"/>
          <w:b w:val="0"/>
          <w:bCs w:val="0"/>
          <w:color w:val="auto"/>
          <w:sz w:val="32"/>
          <w:szCs w:val="32"/>
        </w:rPr>
        <w:t>资促进局收集汇总</w:t>
      </w: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rPr>
        <w:t>一、二、三、四类单位</w:t>
      </w:r>
      <w:r>
        <w:rPr>
          <w:rFonts w:hint="eastAsia" w:ascii="仿宋_GB2312" w:hAnsi="仿宋_GB2312" w:eastAsia="仿宋_GB2312" w:cs="仿宋_GB2312"/>
          <w:b w:val="0"/>
          <w:bCs w:val="0"/>
          <w:color w:val="auto"/>
          <w:sz w:val="32"/>
          <w:szCs w:val="32"/>
          <w:lang w:eastAsia="zh-CN"/>
        </w:rPr>
        <w:t>及其他来源</w:t>
      </w:r>
      <w:r>
        <w:rPr>
          <w:rFonts w:hint="eastAsia" w:ascii="仿宋_GB2312" w:hAnsi="仿宋_GB2312" w:eastAsia="仿宋_GB2312" w:cs="仿宋_GB2312"/>
          <w:b w:val="0"/>
          <w:bCs w:val="0"/>
          <w:color w:val="auto"/>
          <w:sz w:val="32"/>
          <w:szCs w:val="32"/>
        </w:rPr>
        <w:t>有</w:t>
      </w:r>
      <w:r>
        <w:rPr>
          <w:rFonts w:hint="eastAsia" w:ascii="仿宋_GB2312" w:hAnsi="仿宋_GB2312" w:eastAsia="仿宋_GB2312" w:cs="仿宋_GB2312"/>
          <w:b w:val="0"/>
          <w:bCs w:val="0"/>
          <w:color w:val="auto"/>
          <w:sz w:val="32"/>
          <w:szCs w:val="32"/>
          <w:lang w:eastAsia="zh-CN"/>
        </w:rPr>
        <w:t>明确</w:t>
      </w:r>
      <w:r>
        <w:rPr>
          <w:rFonts w:hint="eastAsia" w:ascii="仿宋_GB2312" w:hAnsi="仿宋_GB2312" w:eastAsia="仿宋_GB2312" w:cs="仿宋_GB2312"/>
          <w:b w:val="0"/>
          <w:bCs w:val="0"/>
          <w:color w:val="auto"/>
          <w:sz w:val="32"/>
          <w:szCs w:val="32"/>
        </w:rPr>
        <w:t>意向项目信息</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项目信息包含企业简介和项目简介，主要包括投资企业名称及简介、投资内容、政策诉求、项目选址要求、项目联系人等基本内容</w:t>
      </w:r>
      <w:r>
        <w:rPr>
          <w:rFonts w:hint="eastAsia" w:ascii="仿宋_GB2312" w:hAnsi="仿宋_GB2312" w:eastAsia="仿宋_GB2312" w:cs="仿宋_GB2312"/>
          <w:b w:val="0"/>
          <w:bCs w:val="0"/>
          <w:color w:val="auto"/>
          <w:sz w:val="32"/>
          <w:szCs w:val="32"/>
          <w:lang w:eastAsia="zh-CN"/>
        </w:rPr>
        <w:t>（填写有效线索表）</w:t>
      </w:r>
      <w:r>
        <w:rPr>
          <w:rFonts w:hint="eastAsia" w:ascii="仿宋_GB2312" w:hAnsi="仿宋_GB2312" w:eastAsia="仿宋_GB2312" w:cs="仿宋_GB2312"/>
          <w:b w:val="0"/>
          <w:bCs w:val="0"/>
          <w:color w:val="auto"/>
          <w:sz w:val="32"/>
          <w:szCs w:val="32"/>
        </w:rPr>
        <w:t>。</w:t>
      </w:r>
    </w:p>
    <w:p>
      <w:pPr>
        <w:pStyle w:val="3"/>
        <w:keepNext w:val="0"/>
        <w:keepLines w:val="0"/>
        <w:pageBreakBefore w:val="0"/>
        <w:kinsoku/>
        <w:wordWrap/>
        <w:overflowPunct/>
        <w:topLinePunct w:val="0"/>
        <w:autoSpaceDE/>
        <w:autoSpaceDN/>
        <w:bidi w:val="0"/>
        <w:spacing w:line="560" w:lineRule="exact"/>
        <w:ind w:left="0" w:leftChars="0" w:right="0" w:firstLine="640" w:firstLineChars="200"/>
        <w:jc w:val="both"/>
        <w:rPr>
          <w:rFonts w:hint="eastAsia" w:ascii="仿宋_GB2312" w:hAnsi="仿宋_GB2312" w:eastAsia="仿宋_GB2312" w:cs="仿宋_GB2312"/>
          <w:b w:val="0"/>
          <w:bCs w:val="0"/>
          <w:color w:val="auto"/>
          <w:sz w:val="32"/>
          <w:szCs w:val="32"/>
          <w:lang w:eastAsia="zh-CN"/>
        </w:rPr>
      </w:pPr>
      <w:r>
        <w:rPr>
          <w:rFonts w:hint="default" w:ascii="Times New Roman" w:hAnsi="Times New Roman" w:eastAsia="仿宋_GB2312" w:cs="Times New Roman"/>
          <w:b w:val="0"/>
          <w:bCs w:val="0"/>
          <w:snapToGrid/>
          <w:color w:val="auto"/>
          <w:sz w:val="32"/>
          <w:szCs w:val="32"/>
        </w:rPr>
        <w:t>2</w:t>
      </w:r>
      <w:r>
        <w:rPr>
          <w:rFonts w:hint="eastAsia" w:ascii="仿宋_GB2312" w:hAnsi="仿宋_GB2312" w:eastAsia="仿宋_GB2312" w:cs="仿宋_GB2312"/>
          <w:b w:val="0"/>
          <w:bCs w:val="0"/>
          <w:snapToGrid/>
          <w:color w:val="auto"/>
          <w:sz w:val="32"/>
          <w:szCs w:val="32"/>
        </w:rPr>
        <w:t>.分类承办。</w:t>
      </w:r>
      <w:r>
        <w:rPr>
          <w:rFonts w:hint="eastAsia" w:ascii="仿宋_GB2312" w:hAnsi="仿宋_GB2312" w:eastAsia="仿宋_GB2312" w:cs="仿宋_GB2312"/>
          <w:b w:val="0"/>
          <w:bCs w:val="0"/>
          <w:color w:val="auto"/>
          <w:sz w:val="32"/>
          <w:szCs w:val="32"/>
        </w:rPr>
        <w:t>区投资促进局对汇总的信息进行初步研判，建立招商引资重点项目信息库台账，</w:t>
      </w:r>
      <w:r>
        <w:rPr>
          <w:rFonts w:hint="eastAsia" w:ascii="仿宋_GB2312" w:hAnsi="仿宋_GB2312" w:eastAsia="仿宋_GB2312" w:cs="仿宋_GB2312"/>
          <w:b w:val="0"/>
          <w:bCs w:val="0"/>
          <w:color w:val="auto"/>
          <w:sz w:val="32"/>
          <w:szCs w:val="32"/>
          <w:lang w:eastAsia="zh-CN"/>
        </w:rPr>
        <w:t>区分重点对接、重点在谈、力促签约项目信息表，按产业类型统筹分管领导、引荐单位（引荐人）、行业主管部门等相关单位接洽考察。</w:t>
      </w:r>
    </w:p>
    <w:p>
      <w:pPr>
        <w:pStyle w:val="3"/>
        <w:keepNext w:val="0"/>
        <w:keepLines w:val="0"/>
        <w:pageBreakBefore w:val="0"/>
        <w:kinsoku/>
        <w:wordWrap/>
        <w:overflowPunct/>
        <w:topLinePunct w:val="0"/>
        <w:autoSpaceDE/>
        <w:autoSpaceDN/>
        <w:bidi w:val="0"/>
        <w:spacing w:line="560" w:lineRule="exact"/>
        <w:ind w:left="0" w:leftChars="0" w:right="0" w:firstLine="640" w:firstLineChars="200"/>
        <w:jc w:val="both"/>
        <w:rPr>
          <w:rFonts w:hint="eastAsia" w:ascii="仿宋_GB2312" w:hAnsi="仿宋_GB2312" w:eastAsia="仿宋_GB2312" w:cs="仿宋_GB2312"/>
          <w:b w:val="0"/>
          <w:bCs w:val="0"/>
          <w:color w:val="auto"/>
          <w:sz w:val="32"/>
          <w:szCs w:val="32"/>
          <w:lang w:eastAsia="zh-CN"/>
        </w:rPr>
      </w:pPr>
      <w:r>
        <w:rPr>
          <w:rFonts w:hint="default" w:ascii="Times New Roman" w:hAnsi="Times New Roman" w:eastAsia="仿宋_GB2312" w:cs="Times New Roman"/>
          <w:b w:val="0"/>
          <w:bCs w:val="0"/>
          <w:snapToGrid/>
          <w:color w:val="auto"/>
          <w:sz w:val="32"/>
          <w:szCs w:val="32"/>
        </w:rPr>
        <w:t>3</w:t>
      </w:r>
      <w:r>
        <w:rPr>
          <w:rFonts w:hint="eastAsia" w:ascii="仿宋_GB2312" w:hAnsi="仿宋_GB2312" w:eastAsia="仿宋_GB2312" w:cs="仿宋_GB2312"/>
          <w:b w:val="0"/>
          <w:bCs w:val="0"/>
          <w:snapToGrid/>
          <w:color w:val="auto"/>
          <w:sz w:val="32"/>
          <w:szCs w:val="32"/>
        </w:rPr>
        <w:t>.接洽考察。</w:t>
      </w:r>
      <w:r>
        <w:rPr>
          <w:rFonts w:hint="eastAsia" w:ascii="仿宋_GB2312" w:hAnsi="仿宋_GB2312" w:eastAsia="仿宋_GB2312" w:cs="仿宋_GB2312"/>
          <w:b w:val="0"/>
          <w:bCs w:val="0"/>
          <w:color w:val="auto"/>
          <w:sz w:val="32"/>
          <w:szCs w:val="32"/>
          <w:lang w:eastAsia="zh-CN"/>
        </w:rPr>
        <w:t>先期由引荐单位（引荐人）按产业类型提请分管领导、行业主管部门等相关单位接洽考察，确定初步合作意向，区投资促进局全程跟踪参与、指导形成初步合作协议，适时提请区主要领导接洽考察。</w:t>
      </w:r>
    </w:p>
    <w:p>
      <w:pPr>
        <w:pStyle w:val="3"/>
        <w:keepNext w:val="0"/>
        <w:keepLines w:val="0"/>
        <w:pageBreakBefore w:val="0"/>
        <w:kinsoku/>
        <w:wordWrap/>
        <w:overflowPunct/>
        <w:topLinePunct w:val="0"/>
        <w:autoSpaceDE/>
        <w:autoSpaceDN/>
        <w:bidi w:val="0"/>
        <w:spacing w:line="560" w:lineRule="exact"/>
        <w:ind w:left="0" w:leftChars="0" w:right="0" w:firstLine="640" w:firstLineChars="200"/>
        <w:jc w:val="both"/>
        <w:rPr>
          <w:rFonts w:hint="eastAsia" w:ascii="仿宋_GB2312" w:hAnsi="仿宋_GB2312" w:eastAsia="仿宋_GB2312" w:cs="仿宋_GB2312"/>
          <w:b w:val="0"/>
          <w:bCs w:val="0"/>
          <w:color w:val="auto"/>
          <w:sz w:val="32"/>
          <w:szCs w:val="32"/>
          <w:lang w:eastAsia="zh-CN"/>
        </w:rPr>
      </w:pPr>
      <w:r>
        <w:rPr>
          <w:rFonts w:hint="default" w:ascii="Times New Roman" w:hAnsi="Times New Roman" w:eastAsia="仿宋_GB2312" w:cs="Times New Roman"/>
          <w:b w:val="0"/>
          <w:bCs w:val="0"/>
          <w:snapToGrid/>
          <w:color w:val="auto"/>
          <w:sz w:val="32"/>
          <w:szCs w:val="32"/>
          <w:lang w:val="en-US" w:eastAsia="zh-CN"/>
        </w:rPr>
        <w:t>4</w:t>
      </w:r>
      <w:r>
        <w:rPr>
          <w:rFonts w:hint="eastAsia" w:ascii="仿宋_GB2312" w:hAnsi="仿宋_GB2312" w:eastAsia="仿宋_GB2312" w:cs="仿宋_GB2312"/>
          <w:b w:val="0"/>
          <w:bCs w:val="0"/>
          <w:snapToGrid/>
          <w:color w:val="auto"/>
          <w:sz w:val="32"/>
          <w:szCs w:val="32"/>
          <w:lang w:val="en-US" w:eastAsia="zh-CN"/>
        </w:rPr>
        <w:t>.提请审查。</w:t>
      </w:r>
      <w:r>
        <w:rPr>
          <w:rFonts w:hint="eastAsia" w:ascii="仿宋_GB2312" w:hAnsi="仿宋_GB2312" w:eastAsia="仿宋_GB2312" w:cs="仿宋_GB2312"/>
          <w:b w:val="0"/>
          <w:bCs w:val="0"/>
          <w:color w:val="auto"/>
          <w:sz w:val="32"/>
          <w:szCs w:val="32"/>
          <w:lang w:eastAsia="zh-CN"/>
        </w:rPr>
        <w:t>区投资促进局收集合作协议、项目可研报告等，提交审查。</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（二）审查签约机制</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为高位推进招商引资项目审查质效、提升签约流程，由</w:t>
      </w:r>
      <w:r>
        <w:rPr>
          <w:rFonts w:hint="eastAsia" w:ascii="仿宋_GB2312" w:hAnsi="仿宋_GB2312" w:eastAsia="仿宋_GB2312" w:cs="仿宋_GB2312"/>
          <w:b w:val="0"/>
          <w:bCs w:val="0"/>
          <w:sz w:val="32"/>
          <w:szCs w:val="32"/>
          <w:lang w:eastAsia="zh-CN"/>
        </w:rPr>
        <w:t>分管招商领导</w:t>
      </w:r>
      <w:r>
        <w:rPr>
          <w:rFonts w:hint="eastAsia" w:ascii="仿宋_GB2312" w:hAnsi="仿宋_GB2312" w:eastAsia="仿宋_GB2312" w:cs="仿宋_GB2312"/>
          <w:b w:val="0"/>
          <w:bCs w:val="0"/>
          <w:sz w:val="32"/>
          <w:szCs w:val="32"/>
        </w:rPr>
        <w:t>任组长，行业分管区领导任副组长，行业相关单位任组员。责任部门由区投资促进局牵头。</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.项目审查。统筹、指导、审核，项目引荐单位（或引荐人）收集项目计划书、起草招商合作协议等，行业相关单位按职能划分，按</w:t>
      </w:r>
      <w:r>
        <w:rPr>
          <w:rFonts w:hint="default" w:ascii="Times New Roman" w:hAnsi="Times New Roman" w:eastAsia="仿宋_GB2312" w:cs="Times New Roman"/>
          <w:b w:val="0"/>
          <w:bCs w:val="0"/>
          <w:sz w:val="32"/>
          <w:szCs w:val="32"/>
        </w:rPr>
        <w:t>2021</w:t>
      </w:r>
      <w:r>
        <w:rPr>
          <w:rFonts w:hint="eastAsia" w:ascii="仿宋_GB2312" w:hAnsi="仿宋_GB2312" w:eastAsia="仿宋_GB2312" w:cs="仿宋_GB2312"/>
          <w:b w:val="0"/>
          <w:bCs w:val="0"/>
          <w:sz w:val="32"/>
          <w:szCs w:val="32"/>
        </w:rPr>
        <w:t>年</w:t>
      </w:r>
      <w:r>
        <w:rPr>
          <w:rFonts w:hint="default" w:ascii="Times New Roman" w:hAnsi="Times New Roman" w:eastAsia="仿宋_GB2312" w:cs="Times New Roman"/>
          <w:b w:val="0"/>
          <w:bCs w:val="0"/>
          <w:sz w:val="32"/>
          <w:szCs w:val="32"/>
        </w:rPr>
        <w:t>8</w:t>
      </w:r>
      <w:r>
        <w:rPr>
          <w:rFonts w:hint="eastAsia" w:ascii="仿宋_GB2312" w:hAnsi="仿宋_GB2312" w:eastAsia="仿宋_GB2312" w:cs="仿宋_GB2312"/>
          <w:b w:val="0"/>
          <w:bCs w:val="0"/>
          <w:sz w:val="32"/>
          <w:szCs w:val="32"/>
        </w:rPr>
        <w:t>月印发的《禹会区招商引资项目联合预审暂行办法》（禹办发〔</w:t>
      </w:r>
      <w:r>
        <w:rPr>
          <w:rFonts w:hint="default" w:ascii="Times New Roman" w:hAnsi="Times New Roman" w:eastAsia="仿宋_GB2312" w:cs="Times New Roman"/>
          <w:b w:val="0"/>
          <w:bCs w:val="0"/>
          <w:sz w:val="32"/>
          <w:szCs w:val="32"/>
        </w:rPr>
        <w:t>2021</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36</w:t>
      </w:r>
      <w:r>
        <w:rPr>
          <w:rFonts w:hint="eastAsia" w:ascii="仿宋_GB2312" w:hAnsi="仿宋_GB2312" w:eastAsia="仿宋_GB2312" w:cs="仿宋_GB2312"/>
          <w:b w:val="0"/>
          <w:bCs w:val="0"/>
          <w:sz w:val="32"/>
          <w:szCs w:val="32"/>
        </w:rPr>
        <w:t>号）进行项目预审，提出明确意见。资金要素、法律审查、产业尽调</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个专班对重大项目进行研判。</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.集体审议。亿元以上招商项目报请招商引资工作领导小组审查通过后</w:t>
      </w:r>
      <w:r>
        <w:rPr>
          <w:rFonts w:hint="eastAsia" w:ascii="仿宋_GB2312" w:hAnsi="仿宋_GB2312" w:eastAsia="仿宋_GB2312" w:cs="仿宋_GB2312"/>
          <w:b w:val="0"/>
          <w:bCs w:val="0"/>
          <w:sz w:val="32"/>
          <w:szCs w:val="32"/>
          <w:lang w:eastAsia="zh-CN"/>
        </w:rPr>
        <w:t>按程序报区委区政府审议。</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.签约交办。按照协议约定用地（租赁厂房）、开工时间、投产时间、配套保障等，区分项目类型、引荐单位（或个人）、帮办事项等，制定帮办清单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包含帮办领导、帮办单位（具体负责人、帮办事项，完成时限等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，移交帮办调度（禹会区帮办服务交接单，见附件</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（三）帮办调度机制</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高位推进招商引资项目开工建设、推进投产达效，项目明确一个副县级领导牵头，行业相关单位负责帮办。制造业项目责任部门由区经济发展服务中心牵头；商贸类项目责任部门由区商务外事局牵头；建筑房地产、物流类项目责任部门由区住建交通局牵头；文旅类项目责任部门由区文化旅游局牵头；其他类项目分别由行业主管部门牵头。</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.接收交办。接收帮办清单，明确项目牵头领导及具体负责人、细化帮办事项横道图及项目进展、及时掌握项目全生命周期新需求及帮办服务等。</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.交办督办。挂图作战、催办督办、提级调度、全面掌握及时更新项目进展，推进项目开工建设、投产达效等。</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.政策执行。按项目协议约定，统筹制定、指导、收集政策兑现所需清单、材料等，完善法定程序，提交审查、审核履约、跟办兑现等。</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项目引荐单位（引荐人）全程参与引荐项目</w:t>
      </w:r>
      <w:r>
        <w:rPr>
          <w:rFonts w:hint="eastAsia" w:ascii="仿宋_GB2312" w:hAnsi="仿宋_GB2312" w:eastAsia="仿宋_GB2312" w:cs="仿宋_GB2312"/>
          <w:b w:val="0"/>
          <w:bCs w:val="0"/>
          <w:sz w:val="32"/>
          <w:szCs w:val="32"/>
          <w:lang w:eastAsia="zh-CN"/>
        </w:rPr>
        <w:t>协调</w:t>
      </w:r>
      <w:r>
        <w:rPr>
          <w:rFonts w:hint="eastAsia" w:ascii="仿宋_GB2312" w:hAnsi="仿宋_GB2312" w:eastAsia="仿宋_GB2312" w:cs="仿宋_GB2312"/>
          <w:b w:val="0"/>
          <w:bCs w:val="0"/>
          <w:sz w:val="32"/>
          <w:szCs w:val="32"/>
        </w:rPr>
        <w:t>服务，</w:t>
      </w:r>
      <w:r>
        <w:rPr>
          <w:rFonts w:hint="eastAsia" w:ascii="仿宋_GB2312" w:hAnsi="仿宋_GB2312" w:eastAsia="仿宋_GB2312" w:cs="仿宋_GB2312"/>
          <w:b w:val="0"/>
          <w:bCs w:val="0"/>
          <w:sz w:val="32"/>
          <w:szCs w:val="32"/>
          <w:lang w:eastAsia="zh-CN"/>
        </w:rPr>
        <w:t>统筹协调</w:t>
      </w:r>
      <w:r>
        <w:rPr>
          <w:rFonts w:hint="eastAsia" w:ascii="仿宋_GB2312" w:hAnsi="仿宋_GB2312" w:eastAsia="仿宋_GB2312" w:cs="仿宋_GB2312"/>
          <w:b w:val="0"/>
          <w:bCs w:val="0"/>
          <w:sz w:val="32"/>
          <w:szCs w:val="32"/>
        </w:rPr>
        <w:t>从项目落地、开工建设、投产过程中需要协助或协调的事项。</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（四）政策兑现机制</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为高位推进招商引资项目政策兑现、优化营商环境，由</w:t>
      </w:r>
      <w:r>
        <w:rPr>
          <w:rFonts w:hint="eastAsia" w:ascii="仿宋_GB2312" w:hAnsi="仿宋_GB2312" w:eastAsia="仿宋_GB2312" w:cs="仿宋_GB2312"/>
          <w:b w:val="0"/>
          <w:bCs w:val="0"/>
          <w:sz w:val="32"/>
          <w:szCs w:val="32"/>
          <w:lang w:eastAsia="zh-CN"/>
        </w:rPr>
        <w:t>常务副区长任</w:t>
      </w:r>
      <w:r>
        <w:rPr>
          <w:rFonts w:hint="eastAsia" w:ascii="仿宋_GB2312" w:hAnsi="仿宋_GB2312" w:eastAsia="仿宋_GB2312" w:cs="仿宋_GB2312"/>
          <w:b w:val="0"/>
          <w:bCs w:val="0"/>
          <w:sz w:val="32"/>
          <w:szCs w:val="32"/>
        </w:rPr>
        <w:t>组长，招商引资工作分管区领导、行业分管区领导任副组长，相关单位任组员。责任部门由</w:t>
      </w:r>
      <w:r>
        <w:rPr>
          <w:rFonts w:hint="eastAsia" w:ascii="仿宋_GB2312" w:hAnsi="仿宋_GB2312" w:eastAsia="仿宋_GB2312" w:cs="仿宋_GB2312"/>
          <w:b w:val="0"/>
          <w:bCs w:val="0"/>
          <w:sz w:val="32"/>
          <w:szCs w:val="32"/>
          <w:lang w:eastAsia="zh-CN"/>
        </w:rPr>
        <w:t>行业主管部门</w:t>
      </w:r>
      <w:r>
        <w:rPr>
          <w:rFonts w:hint="eastAsia" w:ascii="仿宋_GB2312" w:hAnsi="仿宋_GB2312" w:eastAsia="仿宋_GB2312" w:cs="仿宋_GB2312"/>
          <w:b w:val="0"/>
          <w:bCs w:val="0"/>
          <w:sz w:val="32"/>
          <w:szCs w:val="32"/>
        </w:rPr>
        <w:t>牵头。</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.接收兑现。接收兑现材料，制定拨付计划，调集资金保障等。</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.会议决策。提请招商引资政策兑现专班领导小组审议通过后，兑现。</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.兑现反馈。及时抄送反馈政策兑现数额、兑现款项、兑现时间等情况。</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六、议事通报</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审查签约等</w:t>
      </w:r>
      <w:r>
        <w:rPr>
          <w:rFonts w:hint="eastAsia" w:ascii="仿宋_GB2312" w:hAnsi="仿宋_GB2312" w:eastAsia="仿宋_GB2312" w:cs="仿宋_GB2312"/>
          <w:b w:val="0"/>
          <w:bCs w:val="0"/>
          <w:sz w:val="32"/>
          <w:szCs w:val="32"/>
        </w:rPr>
        <w:t>招商引资</w:t>
      </w:r>
      <w:r>
        <w:rPr>
          <w:rFonts w:hint="eastAsia" w:ascii="仿宋_GB2312" w:hAnsi="仿宋_GB2312" w:eastAsia="仿宋_GB2312" w:cs="仿宋_GB2312"/>
          <w:b w:val="0"/>
          <w:bCs w:val="0"/>
          <w:sz w:val="32"/>
          <w:szCs w:val="32"/>
          <w:lang w:eastAsia="zh-CN"/>
        </w:rPr>
        <w:t>专题</w:t>
      </w:r>
      <w:r>
        <w:rPr>
          <w:rFonts w:hint="eastAsia" w:ascii="仿宋_GB2312" w:hAnsi="仿宋_GB2312" w:eastAsia="仿宋_GB2312" w:cs="仿宋_GB2312"/>
          <w:b w:val="0"/>
          <w:bCs w:val="0"/>
          <w:sz w:val="32"/>
          <w:szCs w:val="32"/>
        </w:rPr>
        <w:t>会议，由牵头责任部门</w:t>
      </w:r>
      <w:r>
        <w:rPr>
          <w:rFonts w:hint="eastAsia" w:ascii="仿宋_GB2312" w:hAnsi="仿宋_GB2312" w:eastAsia="仿宋_GB2312" w:cs="仿宋_GB2312"/>
          <w:b w:val="0"/>
          <w:bCs w:val="0"/>
          <w:sz w:val="32"/>
          <w:szCs w:val="32"/>
          <w:lang w:eastAsia="zh-CN"/>
        </w:rPr>
        <w:t>根据项目情况</w:t>
      </w:r>
      <w:r>
        <w:rPr>
          <w:rFonts w:hint="eastAsia" w:ascii="仿宋_GB2312" w:hAnsi="仿宋_GB2312" w:eastAsia="仿宋_GB2312" w:cs="仿宋_GB2312"/>
          <w:b w:val="0"/>
          <w:bCs w:val="0"/>
          <w:sz w:val="32"/>
          <w:szCs w:val="32"/>
        </w:rPr>
        <w:t>组织实施，并形成专题会议纪要。</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（二）提级审议或调度的，按区委、区政府会议议事规则执行。</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每半月</w:t>
      </w:r>
      <w:r>
        <w:rPr>
          <w:rFonts w:hint="eastAsia" w:ascii="仿宋_GB2312" w:hAnsi="仿宋_GB2312" w:eastAsia="仿宋_GB2312" w:cs="仿宋_GB2312"/>
          <w:b w:val="0"/>
          <w:bCs w:val="0"/>
          <w:sz w:val="32"/>
          <w:szCs w:val="32"/>
          <w:lang w:eastAsia="zh-CN"/>
        </w:rPr>
        <w:t>下发</w:t>
      </w:r>
      <w:r>
        <w:rPr>
          <w:rFonts w:hint="eastAsia" w:ascii="仿宋_GB2312" w:hAnsi="仿宋_GB2312" w:eastAsia="仿宋_GB2312" w:cs="仿宋_GB2312"/>
          <w:b w:val="0"/>
          <w:bCs w:val="0"/>
          <w:sz w:val="32"/>
          <w:szCs w:val="32"/>
        </w:rPr>
        <w:t>招商引资工作提示单，重点传达市、区主要领导关于招商最新工作要求，结合存在的问题及下步工作方向，任务完成情况等进行提示。</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招商引资调度会由区主要领导主持召开，四大班子全体成员及成员单位参加，</w:t>
      </w:r>
      <w:r>
        <w:rPr>
          <w:rFonts w:hint="eastAsia" w:ascii="仿宋_GB2312" w:hAnsi="仿宋_GB2312" w:eastAsia="仿宋_GB2312" w:cs="仿宋_GB2312"/>
          <w:b w:val="0"/>
          <w:bCs w:val="0"/>
          <w:sz w:val="32"/>
          <w:szCs w:val="32"/>
          <w:lang w:eastAsia="zh-CN"/>
        </w:rPr>
        <w:t>定期召开</w:t>
      </w:r>
      <w:r>
        <w:rPr>
          <w:rFonts w:hint="eastAsia" w:ascii="仿宋_GB2312" w:hAnsi="仿宋_GB2312" w:eastAsia="仿宋_GB2312" w:cs="仿宋_GB2312"/>
          <w:b w:val="0"/>
          <w:bCs w:val="0"/>
          <w:sz w:val="32"/>
          <w:szCs w:val="32"/>
        </w:rPr>
        <w:t>，主要进行招商引资通报、分析存在的问题、安排部署相关工作及讲评点评好的单位（个人）、好的做法经验等。</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七、考核办法</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（一）区</w:t>
      </w:r>
      <w:r>
        <w:rPr>
          <w:rFonts w:hint="eastAsia" w:ascii="仿宋_GB2312" w:hAnsi="仿宋_GB2312" w:eastAsia="仿宋_GB2312" w:cs="仿宋_GB2312"/>
          <w:b w:val="0"/>
          <w:bCs w:val="0"/>
          <w:sz w:val="32"/>
          <w:szCs w:val="32"/>
          <w:lang w:eastAsia="zh-CN"/>
        </w:rPr>
        <w:t>委督查考核</w:t>
      </w:r>
      <w:r>
        <w:rPr>
          <w:rFonts w:hint="eastAsia" w:ascii="仿宋_GB2312" w:hAnsi="仿宋_GB2312" w:eastAsia="仿宋_GB2312" w:cs="仿宋_GB2312"/>
          <w:b w:val="0"/>
          <w:bCs w:val="0"/>
          <w:sz w:val="32"/>
          <w:szCs w:val="32"/>
        </w:rPr>
        <w:t>办</w:t>
      </w:r>
      <w:r>
        <w:rPr>
          <w:rFonts w:hint="eastAsia" w:ascii="仿宋_GB2312" w:hAnsi="仿宋_GB2312" w:eastAsia="仿宋_GB2312" w:cs="仿宋_GB2312"/>
          <w:b w:val="0"/>
          <w:bCs w:val="0"/>
          <w:sz w:val="32"/>
          <w:szCs w:val="32"/>
          <w:lang w:eastAsia="zh-CN"/>
        </w:rPr>
        <w:t>将</w:t>
      </w:r>
      <w:r>
        <w:rPr>
          <w:rFonts w:hint="eastAsia" w:ascii="仿宋_GB2312" w:hAnsi="仿宋_GB2312" w:eastAsia="仿宋_GB2312" w:cs="仿宋_GB2312"/>
          <w:b w:val="0"/>
          <w:bCs w:val="0"/>
          <w:sz w:val="32"/>
          <w:szCs w:val="32"/>
        </w:rPr>
        <w:t>一、二、三类单位招商引资任务列入本单位年度考核指标，占比为</w:t>
      </w:r>
      <w:r>
        <w:rPr>
          <w:rFonts w:hint="default" w:ascii="Times New Roman" w:hAnsi="Times New Roman" w:eastAsia="仿宋_GB2312" w:cs="Times New Roman"/>
          <w:b w:val="0"/>
          <w:bCs w:val="0"/>
          <w:sz w:val="32"/>
          <w:szCs w:val="32"/>
        </w:rPr>
        <w:t>10</w:t>
      </w:r>
      <w:r>
        <w:rPr>
          <w:rFonts w:hint="eastAsia" w:ascii="仿宋_GB2312" w:hAnsi="仿宋_GB2312" w:eastAsia="仿宋_GB2312" w:cs="仿宋_GB2312"/>
          <w:b w:val="0"/>
          <w:bCs w:val="0"/>
          <w:sz w:val="32"/>
          <w:szCs w:val="32"/>
        </w:rPr>
        <w:t>%。同时将招商引资任务完成情况纳入重点工作，根据在全市考核排名情况加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分，结果纳入各单位年度考核等次综合评定。</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（二）区委组织部对四类单位（</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个片区招商小分队）成绩特别突出的招商个人，优先予以提拔、晋升职级职称。对在招商引资过程中表现不合格的招商人员视情况由组织部门对其进行约谈、调整。会同区投资促进局每月招商通报评定一次，年度综合评定一次。</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（三）全区县级领导（除承担参与市招商考核的县级领导和区投资促进局，按市级文件执行</w:t>
      </w:r>
      <w:r>
        <w:rPr>
          <w:rFonts w:hint="eastAsia" w:ascii="仿宋_GB2312" w:hAnsi="仿宋_GB2312" w:eastAsia="仿宋_GB2312" w:cs="仿宋_GB2312"/>
          <w:b w:val="0"/>
          <w:bCs w:val="0"/>
          <w:sz w:val="32"/>
          <w:szCs w:val="32"/>
          <w:lang w:eastAsia="zh-CN"/>
        </w:rPr>
        <w:t>外</w:t>
      </w:r>
      <w:r>
        <w:rPr>
          <w:rFonts w:hint="eastAsia" w:ascii="仿宋_GB2312" w:hAnsi="仿宋_GB2312" w:eastAsia="仿宋_GB2312" w:cs="仿宋_GB2312"/>
          <w:b w:val="0"/>
          <w:bCs w:val="0"/>
          <w:sz w:val="32"/>
          <w:szCs w:val="32"/>
        </w:rPr>
        <w:t>），按所分管一、二、三类单位，每季度结合完成招商引资任务实际，对完成情况不佳的，视情况由区主要领导进行谈话。</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八、政策保障</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（一）招商引资项目享受优惠政策，实行项目公司和</w:t>
      </w:r>
      <w:r>
        <w:rPr>
          <w:rFonts w:hint="eastAsia" w:ascii="仿宋_GB2312" w:hAnsi="仿宋_GB2312" w:eastAsia="仿宋_GB2312" w:cs="仿宋_GB2312"/>
          <w:b w:val="0"/>
          <w:bCs w:val="0"/>
          <w:color w:val="auto"/>
          <w:sz w:val="32"/>
          <w:szCs w:val="32"/>
        </w:rPr>
        <w:t>地方经</w:t>
      </w:r>
      <w:r>
        <w:rPr>
          <w:rFonts w:hint="eastAsia" w:ascii="仿宋_GB2312" w:hAnsi="仿宋_GB2312" w:eastAsia="仿宋_GB2312" w:cs="仿宋_GB2312"/>
          <w:b w:val="0"/>
          <w:bCs w:val="0"/>
          <w:sz w:val="32"/>
          <w:szCs w:val="32"/>
        </w:rPr>
        <w:t>济贡献度对等原则，按照主导产业类、其他类项目，分别给予项目公司地方经济贡献奖励扶持政策。按照</w:t>
      </w:r>
      <w:r>
        <w:rPr>
          <w:rFonts w:hint="default" w:ascii="Times New Roman" w:hAnsi="Times New Roman" w:eastAsia="仿宋_GB2312" w:cs="Times New Roman"/>
          <w:b w:val="0"/>
          <w:bCs w:val="0"/>
          <w:sz w:val="32"/>
          <w:szCs w:val="32"/>
        </w:rPr>
        <w:t>2022</w:t>
      </w:r>
      <w:r>
        <w:rPr>
          <w:rFonts w:hint="eastAsia" w:ascii="仿宋_GB2312" w:hAnsi="仿宋_GB2312" w:eastAsia="仿宋_GB2312" w:cs="仿宋_GB2312"/>
          <w:b w:val="0"/>
          <w:bCs w:val="0"/>
          <w:sz w:val="32"/>
          <w:szCs w:val="32"/>
        </w:rPr>
        <w:t>年</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月印发的《禹会区招商引资工作政策指导意见（试行）》（禹办发〔</w:t>
      </w:r>
      <w:r>
        <w:rPr>
          <w:rFonts w:hint="default" w:ascii="Times New Roman" w:hAnsi="Times New Roman" w:eastAsia="仿宋_GB2312" w:cs="Times New Roman"/>
          <w:b w:val="0"/>
          <w:bCs w:val="0"/>
          <w:sz w:val="32"/>
          <w:szCs w:val="32"/>
        </w:rPr>
        <w:t>2022</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11</w:t>
      </w:r>
      <w:r>
        <w:rPr>
          <w:rFonts w:hint="eastAsia" w:ascii="仿宋_GB2312" w:hAnsi="仿宋_GB2312" w:eastAsia="仿宋_GB2312" w:cs="仿宋_GB2312"/>
          <w:b w:val="0"/>
          <w:bCs w:val="0"/>
          <w:sz w:val="32"/>
          <w:szCs w:val="32"/>
        </w:rPr>
        <w:t>号）执行。</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（二）招商引资企业可享受优惠政策包括：固定资产投资补贴、房屋租赁费用补贴、土地使用政策奖励、融资贴息、高管个税奖励、搬迁补贴、物流费用补贴、入规奖励、</w:t>
      </w:r>
      <w:r>
        <w:rPr>
          <w:rFonts w:hint="eastAsia" w:ascii="仿宋_GB2312" w:hAnsi="仿宋_GB2312" w:eastAsia="仿宋_GB2312" w:cs="仿宋_GB2312"/>
          <w:b w:val="0"/>
          <w:bCs w:val="0"/>
          <w:spacing w:val="6"/>
          <w:kern w:val="0"/>
          <w:sz w:val="32"/>
          <w:szCs w:val="32"/>
        </w:rPr>
        <w:t>住房及就学保障</w:t>
      </w:r>
      <w:r>
        <w:rPr>
          <w:rFonts w:hint="eastAsia" w:ascii="仿宋_GB2312" w:hAnsi="仿宋_GB2312" w:eastAsia="仿宋_GB2312" w:cs="仿宋_GB2312"/>
          <w:b w:val="0"/>
          <w:bCs w:val="0"/>
          <w:sz w:val="32"/>
          <w:szCs w:val="32"/>
        </w:rPr>
        <w:t>等。</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（三）招商引资项目优惠政策中装修补贴不再执行，但可视情把厂房改造工程列入固定资产补贴，参照固定资产补贴比例、方式执行。</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（四）招商引资政策奖励补贴一般采取先产出后兑现的原则，特殊情况需政策前置类等，报请区政府常务会和区委常委会审议。</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（五）国家、省、市相关政策行业主管部门积极协助企业争取，不纳入地方经济贡献对等范围内。各行业主管部门应结合本行业上级政策、产业特点、区情实际等，积极研究制定出台相关招商引资优惠政策。</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九、经费保障</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全区各单位招商引资工作经费由财政局纳入本年度财政预算，采取实报实销，统一保障（禹投集团、昇荣集团自行保障）。</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十、其他事项</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各单位要确保招商引资项目和相关材料的真实性，不得弄虚作假，一经发现并查实弄虚作假的，取消其年度招商引资考评资格，已兑现的奖励全部追回，对涉及单位的主要负责人、相关责任人严肃问责，取消当年招商引资评优资格。</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本实施方案实施中出现的其他情况，</w:t>
      </w:r>
      <w:r>
        <w:rPr>
          <w:rFonts w:hint="eastAsia" w:ascii="仿宋_GB2312" w:hAnsi="仿宋_GB2312" w:eastAsia="仿宋_GB2312" w:cs="仿宋_GB2312"/>
          <w:b w:val="0"/>
          <w:bCs w:val="0"/>
          <w:sz w:val="32"/>
          <w:szCs w:val="32"/>
          <w:lang w:eastAsia="zh-CN"/>
        </w:rPr>
        <w:t>按程序</w:t>
      </w:r>
      <w:r>
        <w:rPr>
          <w:rFonts w:hint="eastAsia" w:ascii="仿宋_GB2312" w:hAnsi="仿宋_GB2312" w:eastAsia="仿宋_GB2312" w:cs="仿宋_GB2312"/>
          <w:b w:val="0"/>
          <w:bCs w:val="0"/>
          <w:sz w:val="32"/>
          <w:szCs w:val="32"/>
        </w:rPr>
        <w:t>报请</w:t>
      </w:r>
      <w:r>
        <w:rPr>
          <w:rFonts w:hint="eastAsia" w:ascii="仿宋_GB2312" w:hAnsi="仿宋_GB2312" w:eastAsia="仿宋_GB2312" w:cs="仿宋_GB2312"/>
          <w:b w:val="0"/>
          <w:bCs w:val="0"/>
          <w:sz w:val="32"/>
          <w:szCs w:val="32"/>
          <w:lang w:eastAsia="zh-CN"/>
        </w:rPr>
        <w:t>区委区政府</w:t>
      </w:r>
      <w:r>
        <w:rPr>
          <w:rFonts w:hint="eastAsia" w:ascii="仿宋_GB2312" w:hAnsi="仿宋_GB2312" w:eastAsia="仿宋_GB2312" w:cs="仿宋_GB2312"/>
          <w:b w:val="0"/>
          <w:bCs w:val="0"/>
          <w:sz w:val="32"/>
          <w:szCs w:val="32"/>
        </w:rPr>
        <w:t>研究审议后执行。</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附件：</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禹会区招商引资工作领导小</w:t>
      </w:r>
      <w:r>
        <w:rPr>
          <w:rFonts w:hint="eastAsia" w:ascii="仿宋_GB2312" w:hAnsi="仿宋_GB2312" w:eastAsia="仿宋_GB2312" w:cs="仿宋_GB2312"/>
          <w:b w:val="0"/>
          <w:bCs w:val="0"/>
          <w:sz w:val="32"/>
          <w:szCs w:val="32"/>
          <w:lang w:eastAsia="zh-CN"/>
        </w:rPr>
        <w:t>组</w:t>
      </w:r>
    </w:p>
    <w:p>
      <w:pPr>
        <w:keepNext w:val="0"/>
        <w:keepLines w:val="0"/>
        <w:pageBreakBefore w:val="0"/>
        <w:numPr>
          <w:ilvl w:val="0"/>
          <w:numId w:val="0"/>
        </w:numPr>
        <w:kinsoku/>
        <w:wordWrap/>
        <w:overflowPunct/>
        <w:topLinePunct w:val="0"/>
        <w:autoSpaceDE/>
        <w:autoSpaceDN/>
        <w:bidi w:val="0"/>
        <w:spacing w:line="560" w:lineRule="exact"/>
        <w:ind w:left="1916" w:leftChars="760" w:right="0" w:hanging="320" w:hangingChars="1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禹会区招商引资工作领导小组资金要素、法律</w:t>
      </w:r>
      <w:r>
        <w:rPr>
          <w:rFonts w:hint="eastAsia" w:ascii="仿宋_GB2312" w:hAnsi="仿宋_GB2312" w:eastAsia="仿宋_GB2312" w:cs="仿宋_GB2312"/>
          <w:b w:val="0"/>
          <w:bCs w:val="0"/>
          <w:sz w:val="32"/>
          <w:szCs w:val="32"/>
          <w:lang w:eastAsia="zh-CN"/>
        </w:rPr>
        <w:t>审查、产业尽调专班</w:t>
      </w:r>
    </w:p>
    <w:p>
      <w:pPr>
        <w:keepNext w:val="0"/>
        <w:keepLines w:val="0"/>
        <w:pageBreakBefore w:val="0"/>
        <w:kinsoku/>
        <w:wordWrap/>
        <w:overflowPunct/>
        <w:topLinePunct w:val="0"/>
        <w:autoSpaceDE/>
        <w:autoSpaceDN/>
        <w:bidi w:val="0"/>
        <w:spacing w:line="560" w:lineRule="exact"/>
        <w:ind w:left="0" w:leftChars="0" w:right="0" w:firstLine="1600" w:firstLineChars="5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.禹会区</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个片区招商小分队人员信息表</w:t>
      </w:r>
    </w:p>
    <w:p>
      <w:pPr>
        <w:keepNext w:val="0"/>
        <w:keepLines w:val="0"/>
        <w:pageBreakBefore w:val="0"/>
        <w:kinsoku/>
        <w:wordWrap/>
        <w:overflowPunct/>
        <w:topLinePunct w:val="0"/>
        <w:autoSpaceDE/>
        <w:autoSpaceDN/>
        <w:bidi w:val="0"/>
        <w:spacing w:line="560" w:lineRule="exact"/>
        <w:ind w:left="0" w:leftChars="0" w:right="0" w:firstLine="1600" w:firstLineChars="5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val="0"/>
          <w:bCs w:val="0"/>
          <w:sz w:val="32"/>
          <w:szCs w:val="32"/>
        </w:rPr>
        <w:t>.禹会区帮办服务交接单</w:t>
      </w:r>
    </w:p>
    <w:p>
      <w:pPr>
        <w:keepNext w:val="0"/>
        <w:keepLines w:val="0"/>
        <w:pageBreakBefore w:val="0"/>
        <w:kinsoku/>
        <w:wordWrap/>
        <w:overflowPunct/>
        <w:topLinePunct w:val="0"/>
        <w:autoSpaceDE/>
        <w:autoSpaceDN/>
        <w:bidi w:val="0"/>
        <w:spacing w:line="560" w:lineRule="exact"/>
        <w:ind w:left="0" w:leftChars="0" w:right="0" w:firstLine="1600" w:firstLineChars="5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5</w:t>
      </w:r>
      <w:r>
        <w:rPr>
          <w:rFonts w:hint="eastAsia" w:ascii="仿宋_GB2312" w:hAnsi="仿宋_GB2312" w:eastAsia="仿宋_GB2312" w:cs="仿宋_GB2312"/>
          <w:b w:val="0"/>
          <w:bCs w:val="0"/>
          <w:sz w:val="32"/>
          <w:szCs w:val="32"/>
        </w:rPr>
        <w:t>.禹会区招商引资项目有效线索表</w:t>
      </w:r>
    </w:p>
    <w:p>
      <w:pPr>
        <w:keepNext w:val="0"/>
        <w:keepLines w:val="0"/>
        <w:pageBreakBefore w:val="0"/>
        <w:kinsoku/>
        <w:wordWrap/>
        <w:overflowPunct/>
        <w:topLinePunct w:val="0"/>
        <w:autoSpaceDE/>
        <w:autoSpaceDN/>
        <w:bidi w:val="0"/>
        <w:spacing w:line="560" w:lineRule="exact"/>
        <w:ind w:left="0" w:leftChars="0" w:right="0" w:firstLine="1600" w:firstLineChars="500"/>
        <w:jc w:val="lef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6</w:t>
      </w:r>
      <w:r>
        <w:rPr>
          <w:rFonts w:hint="eastAsia" w:ascii="仿宋_GB2312" w:hAnsi="仿宋_GB2312" w:eastAsia="仿宋_GB2312" w:cs="仿宋_GB2312"/>
          <w:b w:val="0"/>
          <w:bCs w:val="0"/>
          <w:sz w:val="32"/>
          <w:szCs w:val="32"/>
        </w:rPr>
        <w:t>.禹会区招商引资单位（个人）项目备案表</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right="0"/>
        <w:jc w:val="lef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禹会区招商引资工作领导小组</w:t>
      </w: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人员名单</w:t>
      </w:r>
    </w:p>
    <w:p>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长：王启卫  区委书记  </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第一副组长：张  斌  区委副书记、区政府区长</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长：童浩平  区委副书记</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  皓  区委常委、区委政法委书记</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崔海锋  区委常委、常务副区长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毕晓龙  区委常委、区委</w:t>
      </w:r>
      <w:r>
        <w:rPr>
          <w:rFonts w:hint="eastAsia" w:ascii="仿宋_GB2312" w:hAnsi="仿宋_GB2312" w:eastAsia="仿宋_GB2312" w:cs="仿宋_GB2312"/>
          <w:sz w:val="32"/>
          <w:szCs w:val="32"/>
          <w:lang w:eastAsia="zh-CN"/>
        </w:rPr>
        <w:t>宣传部部长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牛传付  区委常委、区委组织部长  </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吴先康  区委常委</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王宏洲  区委常委、区政府副区长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胡兴文  区人大副主任</w:t>
      </w:r>
      <w:r>
        <w:rPr>
          <w:rFonts w:hint="eastAsia" w:ascii="仿宋_GB2312" w:hAnsi="仿宋_GB2312" w:eastAsia="仿宋_GB2312" w:cs="仿宋_GB2312"/>
          <w:sz w:val="32"/>
          <w:szCs w:val="32"/>
          <w:lang w:eastAsia="zh-CN"/>
        </w:rPr>
        <w:t>、二级调研员</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陈丽娜  区政府副区长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  大  区政府副区长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胡海波  区政府副区长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勇  区政府副区长、区公安分局局长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陈春霆  区政府副区长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邵会廷  区政协党组副书记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副主席</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成      员：唐思尧  区委办公室主任</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褚建磊  区政府办公室主任（主持工作）</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刘艳梅  区委督查考核办公室主任</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董  慧  区委组织部副部长 </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徐亚男  区委宣传部副部长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尹  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区发展改革委员会主任 </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 xml:space="preserve">  区科技经信局</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  松  区商务外事局局长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  龙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区财政局局长  </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吴志龙   区应急管理局局长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敬小蓉   区审计局局长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许祥顺   区人力资源和社会保障局局长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帅   区住房城乡建设交通局局长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赵越起   区教育体育局局长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徐国军   区农业农村局局长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唐   区文化和旅游局局长  </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勇   区卫生健康委员会主任</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冯金利   区</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 xml:space="preserve">局长  </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  艳   区数据资源管理局局长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  芳   区司法局局长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叶  峻   区城市管理局局长 </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  焱   区投资促进局局长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王传志   区涂山风景区管委会主任</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徐玉柱   区经济发展服务中心主任</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  庆   区大洪山建设管理委员会主任</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李景宇   区生态环境分局局长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周德龙   区自然和规划分局局长  </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薛  嵩   区税务局局长 </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震   长青乡乡长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姜明永   马城镇镇长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周传奇   禹投集团董事长</w:t>
      </w:r>
    </w:p>
    <w:p>
      <w:pPr>
        <w:keepNext w:val="0"/>
        <w:keepLines w:val="0"/>
        <w:pageBreakBefore w:val="0"/>
        <w:kinsoku/>
        <w:wordWrap/>
        <w:overflowPunct/>
        <w:topLinePunct w:val="0"/>
        <w:autoSpaceDE/>
        <w:autoSpaceDN/>
        <w:bidi w:val="0"/>
        <w:snapToGrid w:val="0"/>
        <w:spacing w:line="560" w:lineRule="exact"/>
        <w:ind w:left="0" w:leftChars="0" w:right="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贾  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昇荣集团负责人</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领导小组下设办公室，办公室设在区投资促进局，宋焱任办公室主任。</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spacing w:line="560" w:lineRule="exact"/>
        <w:ind w:right="0"/>
        <w:jc w:val="lef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禹会区招商引资工作领导小组</w:t>
      </w: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资金要素专班</w:t>
      </w:r>
    </w:p>
    <w:p>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 集 人：宋  焱   区投资促进局局长</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专班成员：尹  元   区发展改革委员会主任 </w:t>
      </w:r>
    </w:p>
    <w:p>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  龙   区财政局局长  </w:t>
      </w:r>
    </w:p>
    <w:p>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  松   区商务外事局局长</w:t>
      </w:r>
    </w:p>
    <w:p>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吴志龙   区应急管理局局长</w:t>
      </w:r>
    </w:p>
    <w:p>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徐玉柱   区经济发展服务中心主任  </w:t>
      </w:r>
    </w:p>
    <w:p>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 xml:space="preserve">   区科技经信局</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局长</w:t>
      </w:r>
    </w:p>
    <w:p>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李景宇   区生态环境分局局长</w:t>
      </w:r>
    </w:p>
    <w:p>
      <w:pPr>
        <w:keepNext w:val="0"/>
        <w:keepLines w:val="0"/>
        <w:pageBreakBefore w:val="0"/>
        <w:kinsoku/>
        <w:wordWrap/>
        <w:overflowPunct/>
        <w:topLinePunct w:val="0"/>
        <w:autoSpaceDE/>
        <w:autoSpaceDN/>
        <w:bidi w:val="0"/>
        <w:snapToGrid w:val="0"/>
        <w:spacing w:line="560" w:lineRule="exact"/>
        <w:ind w:left="0" w:leftChars="0" w:right="0"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周德龙   区自然和规划分局局长  </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主要职责：分析企业资金实力、研判项目投融资、奖补资金方案。对项目能耗、环境、安全、用地规划等进行评估，对全区能源、铸造、环保、土地等指标供应、置换等提出合理指导意见。</w:t>
      </w:r>
    </w:p>
    <w:p>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eastAsia" w:ascii="仿宋_GB2312" w:hAnsi="仿宋_GB2312" w:eastAsia="仿宋_GB2312" w:cs="仿宋_GB2312"/>
          <w:sz w:val="32"/>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禹会区招商引资工作领导小组</w:t>
      </w: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法律审查专班</w:t>
      </w:r>
    </w:p>
    <w:p>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 集 人：金  芳  区司法局局长</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专班成员：冯金利  区</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局长</w:t>
      </w:r>
    </w:p>
    <w:p>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薛  嵩  区税务局局长</w:t>
      </w:r>
    </w:p>
    <w:p>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区政府法律顾问</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主要职责：对企业债务纠纷、专利侵权、股东信用等进行查询、评估工作，规避法律风险。</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禹会区招商引资工作领导小组</w:t>
      </w:r>
    </w:p>
    <w:p>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产业尽调专班</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 集 人：周传奇   禹投集团董事长</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专班成员：尹  元   区发展改革委员会主任</w:t>
      </w:r>
    </w:p>
    <w:p>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  松   区商务外事局局长</w:t>
      </w:r>
    </w:p>
    <w:p>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  焱   区投资促进局局长</w:t>
      </w:r>
    </w:p>
    <w:p>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徐玉柱   区经济发展服务中心主任</w:t>
      </w:r>
    </w:p>
    <w:p>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 xml:space="preserve">   区科技经信局</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局长</w:t>
      </w:r>
    </w:p>
    <w:p>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  盛   昇荣集团负责人</w:t>
      </w:r>
    </w:p>
    <w:p>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主要职责：对项目技术性，企业成长性、行业发展前景、产品竞争力等进行分析研判；负责对政府参股项目开展尽职调查。</w:t>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spacing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spacing w:val="0"/>
          <w:sz w:val="32"/>
          <w:szCs w:val="40"/>
          <w:lang w:val="en-US" w:eastAsia="zh-CN"/>
        </w:rPr>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3</w:t>
      </w:r>
      <w:r>
        <w:rPr>
          <w:rFonts w:hint="eastAsia" w:ascii="黑体" w:hAnsi="黑体" w:eastAsia="黑体" w:cs="黑体"/>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禹会区</w:t>
      </w:r>
      <w:r>
        <w:rPr>
          <w:rFonts w:hint="default" w:ascii="Times New Roman" w:hAnsi="Times New Roman" w:eastAsia="方正小标宋简体" w:cs="Times New Roman"/>
          <w:sz w:val="44"/>
          <w:szCs w:val="44"/>
        </w:rPr>
        <w:t>4</w:t>
      </w:r>
      <w:r>
        <w:rPr>
          <w:rFonts w:hint="eastAsia" w:ascii="方正小标宋简体" w:hAnsi="方正小标宋简体" w:eastAsia="方正小标宋简体" w:cs="方正小标宋简体"/>
          <w:sz w:val="44"/>
          <w:szCs w:val="44"/>
        </w:rPr>
        <w:t>个片区招商小分队人员信息表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40"/>
          <w:lang w:val="en-US" w:eastAsia="zh-CN"/>
        </w:rPr>
      </w:pPr>
    </w:p>
    <w:tbl>
      <w:tblPr>
        <w:tblStyle w:val="12"/>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426"/>
        <w:gridCol w:w="5854"/>
        <w:gridCol w:w="4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jc w:val="center"/>
        </w:trPr>
        <w:tc>
          <w:tcPr>
            <w:tcW w:w="399" w:type="pct"/>
            <w:noWrap w:val="0"/>
            <w:vAlign w:val="top"/>
          </w:tcPr>
          <w:p>
            <w:pPr>
              <w:keepNext w:val="0"/>
              <w:keepLines w:val="0"/>
              <w:pageBreakBefore w:val="0"/>
              <w:kinsoku/>
              <w:wordWrap/>
              <w:overflowPunct/>
              <w:topLinePunct w:val="0"/>
              <w:autoSpaceDE/>
              <w:autoSpaceDN/>
              <w:bidi w:val="0"/>
              <w:adjustRightInd/>
              <w:snapToGrid/>
              <w:spacing w:line="48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537" w:type="pct"/>
            <w:noWrap w:val="0"/>
            <w:vAlign w:val="top"/>
          </w:tcPr>
          <w:p>
            <w:pPr>
              <w:keepNext w:val="0"/>
              <w:keepLines w:val="0"/>
              <w:pageBreakBefore w:val="0"/>
              <w:kinsoku/>
              <w:wordWrap/>
              <w:overflowPunct/>
              <w:topLinePunct w:val="0"/>
              <w:autoSpaceDE/>
              <w:autoSpaceDN/>
              <w:bidi w:val="0"/>
              <w:adjustRightInd/>
              <w:snapToGrid/>
              <w:spacing w:line="480" w:lineRule="exact"/>
              <w:jc w:val="center"/>
              <w:rPr>
                <w:rFonts w:hint="eastAsia" w:ascii="黑体" w:hAnsi="黑体" w:eastAsia="黑体" w:cs="黑体"/>
                <w:sz w:val="28"/>
                <w:szCs w:val="28"/>
              </w:rPr>
            </w:pPr>
            <w:r>
              <w:rPr>
                <w:rFonts w:hint="eastAsia" w:ascii="黑体" w:hAnsi="黑体" w:eastAsia="黑体" w:cs="黑体"/>
                <w:sz w:val="28"/>
                <w:szCs w:val="28"/>
              </w:rPr>
              <w:t>姓名</w:t>
            </w:r>
          </w:p>
        </w:tc>
        <w:tc>
          <w:tcPr>
            <w:tcW w:w="2204" w:type="pct"/>
            <w:noWrap w:val="0"/>
            <w:vAlign w:val="top"/>
          </w:tcPr>
          <w:p>
            <w:pPr>
              <w:keepNext w:val="0"/>
              <w:keepLines w:val="0"/>
              <w:pageBreakBefore w:val="0"/>
              <w:kinsoku/>
              <w:wordWrap/>
              <w:overflowPunct/>
              <w:topLinePunct w:val="0"/>
              <w:autoSpaceDE/>
              <w:autoSpaceDN/>
              <w:bidi w:val="0"/>
              <w:adjustRightInd/>
              <w:snapToGrid/>
              <w:spacing w:line="480" w:lineRule="exact"/>
              <w:jc w:val="center"/>
              <w:rPr>
                <w:rFonts w:hint="eastAsia" w:ascii="黑体" w:hAnsi="黑体" w:eastAsia="黑体" w:cs="黑体"/>
                <w:sz w:val="28"/>
                <w:szCs w:val="28"/>
              </w:rPr>
            </w:pPr>
            <w:r>
              <w:rPr>
                <w:rFonts w:hint="eastAsia" w:ascii="黑体" w:hAnsi="黑体" w:eastAsia="黑体" w:cs="黑体"/>
                <w:sz w:val="28"/>
                <w:szCs w:val="28"/>
              </w:rPr>
              <w:t>所属招商队伍</w:t>
            </w:r>
          </w:p>
        </w:tc>
        <w:tc>
          <w:tcPr>
            <w:tcW w:w="1858" w:type="pct"/>
            <w:noWrap w:val="0"/>
            <w:vAlign w:val="top"/>
          </w:tcPr>
          <w:p>
            <w:pPr>
              <w:keepNext w:val="0"/>
              <w:keepLines w:val="0"/>
              <w:pageBreakBefore w:val="0"/>
              <w:kinsoku/>
              <w:wordWrap/>
              <w:overflowPunct/>
              <w:topLinePunct w:val="0"/>
              <w:autoSpaceDE/>
              <w:autoSpaceDN/>
              <w:bidi w:val="0"/>
              <w:adjustRightInd/>
              <w:snapToGrid/>
              <w:spacing w:line="480" w:lineRule="exact"/>
              <w:jc w:val="center"/>
              <w:rPr>
                <w:rFonts w:hint="eastAsia" w:ascii="黑体" w:hAnsi="黑体" w:eastAsia="黑体" w:cs="黑体"/>
                <w:sz w:val="28"/>
                <w:szCs w:val="28"/>
              </w:rPr>
            </w:pPr>
            <w:r>
              <w:rPr>
                <w:rFonts w:hint="eastAsia" w:ascii="黑体" w:hAnsi="黑体" w:eastAsia="黑体" w:cs="黑体"/>
                <w:sz w:val="28"/>
                <w:szCs w:val="28"/>
              </w:rPr>
              <w:t>现任职务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default" w:ascii="Times New Roman" w:hAnsi="Times New Roman" w:eastAsia="仿宋_GB2312" w:cs="Times New Roman"/>
                <w:kern w:val="0"/>
                <w:sz w:val="28"/>
                <w:szCs w:val="28"/>
                <w:lang w:bidi="ar"/>
              </w:rPr>
              <w:t>1</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童浩平</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片区组长，区委副书记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default" w:ascii="Times New Roman" w:hAnsi="Times New Roman" w:eastAsia="仿宋_GB2312" w:cs="Times New Roman"/>
                <w:kern w:val="0"/>
                <w:sz w:val="28"/>
                <w:szCs w:val="28"/>
                <w:lang w:bidi="ar"/>
              </w:rPr>
              <w:t>2</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胡  皓</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片区副组长，区委常委、政法委书记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default" w:ascii="Times New Roman" w:hAnsi="Times New Roman" w:eastAsia="仿宋_GB2312" w:cs="Times New Roman"/>
                <w:kern w:val="0"/>
                <w:sz w:val="28"/>
                <w:szCs w:val="28"/>
                <w:lang w:bidi="ar"/>
              </w:rPr>
              <w:t>3</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滕  锋</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片区副组长，人大党组副书记、副主任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val="en-US" w:eastAsia="zh-CN" w:bidi="ar"/>
              </w:rPr>
              <w:t>4</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陈春霆</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片区副组长，</w:t>
            </w:r>
            <w:r>
              <w:rPr>
                <w:rFonts w:hint="eastAsia" w:ascii="仿宋_GB2312" w:hAnsi="仿宋_GB2312" w:eastAsia="仿宋_GB2312" w:cs="仿宋_GB2312"/>
                <w:kern w:val="0"/>
                <w:sz w:val="28"/>
                <w:szCs w:val="28"/>
                <w:lang w:eastAsia="zh-CN" w:bidi="ar"/>
              </w:rPr>
              <w:t>区政府副区长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lang w:eastAsia="zh-CN"/>
              </w:rPr>
            </w:pPr>
            <w:r>
              <w:rPr>
                <w:rFonts w:hint="default" w:ascii="Times New Roman" w:hAnsi="Times New Roman" w:eastAsia="仿宋_GB2312" w:cs="Times New Roman"/>
                <w:kern w:val="0"/>
                <w:sz w:val="28"/>
                <w:szCs w:val="28"/>
                <w:lang w:val="en-US" w:eastAsia="zh-CN" w:bidi="ar"/>
              </w:rPr>
              <w:t>5</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王志军</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片区副组长，政协副主席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张茂东</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区人大常委会监察和司法工委主任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周金鑫</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区住房城乡建设交通局副局长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许  芹</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区经济发展服务中心副主任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贾  盛</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马投公司执行董事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10</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徐  傲</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马投公司副部长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11</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唐思尧</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区委办副主任（主持工作）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12</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封  锁</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区委办副主任，区档案馆馆长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13</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张家旺</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区委政法委副书记（负责日常工作）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14</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张  毅</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区委政法委一级科员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15</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尚琳琳</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区文化旅游局副局长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16</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徐国军</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区农业农村水利局局长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17</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李晓伍</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区城市管理局副局长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18</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朱亚军</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 xml:space="preserve"> 区市场监管局副局长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19</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何玲玲</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区直机关工委书记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20</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姚登星</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区总工会主席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21</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赵  梦</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团禹会区委副书记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22</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盛宏凤</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区妇联主席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val="en-US" w:eastAsia="zh-CN" w:bidi="ar"/>
              </w:rPr>
              <w:t>23</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何连超</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区残联理事长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24</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梁  艳</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区数据资源局局长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25</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郭  瑞</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区直机关事务管理中心主任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26</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朱</w:t>
            </w:r>
            <w:r>
              <w:rPr>
                <w:rFonts w:hint="eastAsia" w:ascii="仿宋_GB2312" w:hAnsi="仿宋_GB2312" w:eastAsia="仿宋_GB2312" w:cs="仿宋_GB2312"/>
                <w:kern w:val="0"/>
                <w:sz w:val="28"/>
                <w:szCs w:val="28"/>
                <w:lang w:val="en-US" w:eastAsia="zh-CN" w:bidi="ar"/>
              </w:rPr>
              <w:t xml:space="preserve">  </w:t>
            </w:r>
            <w:r>
              <w:rPr>
                <w:rFonts w:hint="eastAsia" w:ascii="仿宋_GB2312" w:hAnsi="仿宋_GB2312" w:eastAsia="仿宋_GB2312" w:cs="仿宋_GB2312"/>
                <w:kern w:val="0"/>
                <w:sz w:val="28"/>
                <w:szCs w:val="28"/>
                <w:lang w:eastAsia="zh-CN" w:bidi="ar"/>
              </w:rPr>
              <w:t>海</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区投资促进局工作人员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27</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王礼龙</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中部经济区及合肥都市圈片区招商小组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28</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王宏洲</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片区组长，区委常委、副区长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29</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牛传付</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pacing w:val="-23"/>
                <w:kern w:val="0"/>
                <w:sz w:val="28"/>
                <w:szCs w:val="28"/>
                <w:lang w:bidi="ar"/>
              </w:rPr>
              <w:t>片区副组长，区委常委、组织部长、党校校长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30</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胡兴文</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片区副组长，人大副主任、二级调研员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val="en-US" w:eastAsia="zh-CN" w:bidi="ar"/>
              </w:rPr>
              <w:t>31</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胡海波</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片区副组长，区政府副区长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w:t>
            </w:r>
            <w:r>
              <w:rPr>
                <w:rFonts w:hint="default" w:ascii="Times New Roman" w:hAnsi="Times New Roman" w:eastAsia="仿宋_GB2312" w:cs="Times New Roman"/>
                <w:kern w:val="0"/>
                <w:sz w:val="28"/>
                <w:szCs w:val="28"/>
                <w:lang w:val="en-US" w:eastAsia="zh-CN" w:bidi="ar"/>
              </w:rPr>
              <w:t>2</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周维刚</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片区副组长，政协副主席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33</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张庆宝</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区人大人选工委主任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34</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李衍振</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区政协委员、一级主任科员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35</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张小乐</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区政协常委、一级主任科员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val="en-US" w:eastAsia="zh-CN" w:bidi="ar"/>
              </w:rPr>
              <w:t>36</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陈  利</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区发改委副主任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37</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宋  焱</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38</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徐玉柱</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区经济发展服务中心主任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39</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陈永东</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禹投集团战略投资部部长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40</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许祥顺</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区人社局局长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41</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胡万青</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区委编办副主任、三级主任科员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42</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刘艳梅</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区委督查考核办主任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43</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陈克全</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区委组织部副部长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44</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  志</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区委统战部副部长（负责日常工作）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45</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岳亚泽</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区委统战部副部长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46</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李舒生</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区财政局副局长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47</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王永周</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区人社局</w:t>
            </w:r>
            <w:r>
              <w:rPr>
                <w:rFonts w:hint="eastAsia" w:ascii="仿宋_GB2312" w:hAnsi="仿宋_GB2312" w:eastAsia="仿宋_GB2312" w:cs="仿宋_GB2312"/>
                <w:kern w:val="0"/>
                <w:sz w:val="28"/>
                <w:szCs w:val="28"/>
                <w:lang w:eastAsia="zh-CN" w:bidi="ar"/>
              </w:rPr>
              <w:t>副</w:t>
            </w:r>
            <w:r>
              <w:rPr>
                <w:rFonts w:hint="eastAsia" w:ascii="仿宋_GB2312" w:hAnsi="仿宋_GB2312" w:eastAsia="仿宋_GB2312" w:cs="仿宋_GB2312"/>
                <w:kern w:val="0"/>
                <w:sz w:val="28"/>
                <w:szCs w:val="28"/>
                <w:lang w:bidi="ar"/>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48</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王传志</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11"/>
                <w:kern w:val="0"/>
                <w:sz w:val="28"/>
                <w:szCs w:val="28"/>
                <w:lang w:bidi="ar"/>
              </w:rPr>
              <w:t>涂山风景区党工委书记、长青乡党委书记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49</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金  芳</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50</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刘红艳</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区医保局局长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51</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李景宇</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52</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eastAsia="zh-CN" w:bidi="ar"/>
              </w:rPr>
              <w:t>姚志强</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长三角片区招商小组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53</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吴先康</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片区组长，区委常委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54</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李国芹</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片区副组长，人大副主任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55</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陈丽娜</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片区副组长，区政府副区长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56</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郑  大</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片区副组长，区政府副区长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57</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邵会廷</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pacing w:val="-11"/>
                <w:kern w:val="0"/>
                <w:sz w:val="28"/>
                <w:szCs w:val="28"/>
                <w:lang w:bidi="ar"/>
              </w:rPr>
              <w:t>片区副组长，区政协党组副书记、副主席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58</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尹  元</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区发改委主任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59</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韩春卫</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政协党组成员、政协秘书长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60</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徐群运</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区人大常委办公室主任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61</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胡  民</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区信访局局长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62</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钱  勇</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区人大教科文卫工委主任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63</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贾雷芳</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区政协一级主任科员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64</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姚纳新</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区政协常委、一级主任科员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65</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李保献</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区政协一级主任科员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66</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  帅</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区住房城乡建设交通局局长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67</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王一哲</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禹投集团战略投资部副主管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68</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陈苏徽</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val="en-US" w:eastAsia="zh-CN" w:bidi="ar"/>
              </w:rPr>
              <w:t>69</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郑诚楠</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区民政局局长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val="en-US" w:eastAsia="zh-CN" w:bidi="ar"/>
              </w:rPr>
              <w:t>70</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李道寒</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区民政局副局长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71</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冯金利</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 xml:space="preserve"> 区市场监管局局长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72</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叶  峻</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区城市管理局局长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73</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姚  卫</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区大洪山林场管委会副主任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74</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陈一公</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区农业综合服务站站长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75</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王德来</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涂山风景区副主任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76</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高  莹</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区文明办主任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77</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敬小蓉</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区审计局局长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78</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于大伟</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京津冀片区招商小组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区退役军人局局长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79</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崔海锋</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片区组长，区委常委、常务副区长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80</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毕晓龙</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片区副组长，区委常委、宣传部长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81</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戴  勇</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片区副组长，人大副主任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82</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王  勇</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pacing w:val="-17"/>
                <w:kern w:val="0"/>
                <w:sz w:val="28"/>
                <w:szCs w:val="28"/>
                <w:lang w:bidi="ar"/>
              </w:rPr>
              <w:t>片区副组长，</w:t>
            </w:r>
            <w:r>
              <w:rPr>
                <w:rFonts w:hint="eastAsia" w:ascii="仿宋_GB2312" w:hAnsi="仿宋_GB2312" w:eastAsia="仿宋_GB2312" w:cs="仿宋_GB2312"/>
                <w:spacing w:val="-17"/>
                <w:kern w:val="0"/>
                <w:sz w:val="28"/>
                <w:szCs w:val="28"/>
                <w:lang w:eastAsia="zh-CN" w:bidi="ar"/>
              </w:rPr>
              <w:t>区政府</w:t>
            </w:r>
            <w:r>
              <w:rPr>
                <w:rFonts w:hint="eastAsia" w:ascii="仿宋_GB2312" w:hAnsi="仿宋_GB2312" w:eastAsia="仿宋_GB2312" w:cs="仿宋_GB2312"/>
                <w:spacing w:val="-17"/>
                <w:kern w:val="0"/>
                <w:sz w:val="28"/>
                <w:szCs w:val="28"/>
                <w:lang w:bidi="ar"/>
              </w:rPr>
              <w:t>副区长、公安分局局长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83</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马长伟</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片区副组长，区政府副区长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bidi="ar"/>
              </w:rPr>
              <w:t>84</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何德宏</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区人大城建环资工委主任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85</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王文强</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区政协一级主任科员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86</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钱德贤</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区政协常委、一级主任科员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87</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王忆哲</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区发改委</w:t>
            </w:r>
            <w:r>
              <w:rPr>
                <w:rFonts w:hint="eastAsia" w:ascii="仿宋_GB2312" w:hAnsi="仿宋_GB2312" w:eastAsia="仿宋_GB2312" w:cs="仿宋_GB2312"/>
                <w:kern w:val="0"/>
                <w:sz w:val="28"/>
                <w:szCs w:val="28"/>
                <w:lang w:eastAsia="zh-CN" w:bidi="ar"/>
              </w:rPr>
              <w:t>副</w:t>
            </w:r>
            <w:r>
              <w:rPr>
                <w:rFonts w:hint="eastAsia" w:ascii="仿宋_GB2312" w:hAnsi="仿宋_GB2312" w:eastAsia="仿宋_GB2312" w:cs="仿宋_GB2312"/>
                <w:kern w:val="0"/>
                <w:sz w:val="28"/>
                <w:szCs w:val="28"/>
                <w:lang w:bidi="ar"/>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88</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房  利</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区科技经信局副局长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89</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彭  松</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区商务外事局局长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90</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  军</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91</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周传奇</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禹投集团董事长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92</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周德龙</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区自然资源和规划分局局长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93</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褚建磊</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区政府办副主任（主持工作）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94</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徐亚男</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区委宣传部副部长（负责日常工作）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95</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李雪芹</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区委统战部副部长、区工商联党组书记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96</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胡  龙</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区财政局局长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97</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赵越起</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区教体局局长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98</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李</w:t>
            </w:r>
            <w:r>
              <w:rPr>
                <w:rFonts w:hint="eastAsia" w:ascii="仿宋_GB2312" w:hAnsi="仿宋_GB2312" w:eastAsia="仿宋_GB2312" w:cs="仿宋_GB2312"/>
                <w:kern w:val="0"/>
                <w:sz w:val="28"/>
                <w:szCs w:val="28"/>
                <w:lang w:val="en-US" w:eastAsia="zh-CN" w:bidi="ar"/>
              </w:rPr>
              <w:t xml:space="preserve">  </w:t>
            </w:r>
            <w:r>
              <w:rPr>
                <w:rFonts w:hint="eastAsia" w:ascii="仿宋_GB2312" w:hAnsi="仿宋_GB2312" w:eastAsia="仿宋_GB2312" w:cs="仿宋_GB2312"/>
                <w:kern w:val="0"/>
                <w:sz w:val="28"/>
                <w:szCs w:val="28"/>
                <w:lang w:eastAsia="zh-CN" w:bidi="ar"/>
              </w:rPr>
              <w:t>唐</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区文化旅游局局长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0"/>
                <w:sz w:val="28"/>
                <w:szCs w:val="28"/>
                <w:lang w:bidi="ar"/>
              </w:rPr>
              <w:t>99</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王  勇</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区卫健委主任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bidi="ar"/>
              </w:rPr>
              <w:t>100</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郭  庆</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区大洪山林场管委会主任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bidi="ar"/>
              </w:rPr>
              <w:t>101</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吴志龙</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区应急局局长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val="en-US" w:eastAsia="zh-CN" w:bidi="ar"/>
              </w:rPr>
              <w:t>102</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崔怀勇</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区信访局副局长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0"/>
                <w:sz w:val="28"/>
                <w:szCs w:val="28"/>
                <w:lang w:val="en-US" w:eastAsia="zh-CN" w:bidi="ar"/>
              </w:rPr>
            </w:pPr>
            <w:r>
              <w:rPr>
                <w:rFonts w:hint="default" w:ascii="Times New Roman" w:hAnsi="Times New Roman" w:eastAsia="仿宋_GB2312" w:cs="Times New Roman"/>
                <w:kern w:val="0"/>
                <w:sz w:val="28"/>
                <w:szCs w:val="28"/>
                <w:lang w:val="en-US" w:eastAsia="zh-CN" w:bidi="ar"/>
              </w:rPr>
              <w:t>103</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eastAsia="zh-CN" w:bidi="ar"/>
              </w:rPr>
              <w:t>朱慧敏</w:t>
            </w:r>
          </w:p>
        </w:tc>
        <w:tc>
          <w:tcPr>
            <w:tcW w:w="2204"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珠三角片区招商小组</w:t>
            </w:r>
          </w:p>
        </w:tc>
        <w:tc>
          <w:tcPr>
            <w:tcW w:w="1858"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区投资促进局</w:t>
            </w:r>
            <w:r>
              <w:rPr>
                <w:rFonts w:hint="eastAsia" w:ascii="仿宋_GB2312" w:hAnsi="仿宋_GB2312" w:eastAsia="仿宋_GB2312" w:cs="仿宋_GB2312"/>
                <w:kern w:val="0"/>
                <w:sz w:val="28"/>
                <w:szCs w:val="28"/>
                <w:lang w:eastAsia="zh-CN" w:bidi="ar"/>
              </w:rPr>
              <w:t>工作人员</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40"/>
          <w:lang w:val="en-US" w:eastAsia="zh-CN"/>
        </w:rPr>
        <w:sectPr>
          <w:headerReference r:id="rId5" w:type="default"/>
          <w:footerReference r:id="rId7" w:type="default"/>
          <w:headerReference r:id="rId6" w:type="even"/>
          <w:footerReference r:id="rId8" w:type="even"/>
          <w:pgSz w:w="16838" w:h="11906" w:orient="landscape"/>
          <w:pgMar w:top="1587" w:right="2098" w:bottom="1474" w:left="198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4</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禹会区帮办服务交接单</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sz w:val="28"/>
          <w:szCs w:val="28"/>
        </w:rPr>
        <w:t xml:space="preserve">移交单位: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接收单位：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年    月   日</w:t>
      </w:r>
    </w:p>
    <w:tbl>
      <w:tblPr>
        <w:tblStyle w:val="12"/>
        <w:tblW w:w="4999"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15" w:type="dxa"/>
          <w:left w:w="15" w:type="dxa"/>
          <w:bottom w:w="15" w:type="dxa"/>
          <w:right w:w="15" w:type="dxa"/>
        </w:tblCellMar>
      </w:tblPr>
      <w:tblGrid>
        <w:gridCol w:w="1907"/>
        <w:gridCol w:w="1486"/>
        <w:gridCol w:w="1164"/>
        <w:gridCol w:w="1021"/>
        <w:gridCol w:w="1312"/>
        <w:gridCol w:w="198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36" w:hRule="atLeast"/>
          <w:jc w:val="center"/>
        </w:trPr>
        <w:tc>
          <w:tcPr>
            <w:tcW w:w="1075" w:type="pct"/>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项目名称</w:t>
            </w:r>
          </w:p>
        </w:tc>
        <w:tc>
          <w:tcPr>
            <w:tcW w:w="3924" w:type="pct"/>
            <w:gridSpan w:val="5"/>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89" w:hRule="atLeast"/>
          <w:jc w:val="center"/>
        </w:trPr>
        <w:tc>
          <w:tcPr>
            <w:tcW w:w="1075" w:type="pc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引荐单位</w:t>
            </w:r>
          </w:p>
        </w:tc>
        <w:tc>
          <w:tcPr>
            <w:tcW w:w="8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引荐人</w:t>
            </w:r>
          </w:p>
        </w:tc>
        <w:tc>
          <w:tcPr>
            <w:tcW w:w="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联系</w:t>
            </w: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电话</w:t>
            </w:r>
          </w:p>
        </w:tc>
        <w:tc>
          <w:tcPr>
            <w:tcW w:w="1115"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893" w:hRule="atLeast"/>
          <w:jc w:val="center"/>
        </w:trPr>
        <w:tc>
          <w:tcPr>
            <w:tcW w:w="1075" w:type="pc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帮办事项及完成时限</w:t>
            </w:r>
          </w:p>
        </w:tc>
        <w:tc>
          <w:tcPr>
            <w:tcW w:w="3924" w:type="pct"/>
            <w:gridSpan w:val="5"/>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right="317" w:rightChars="151" w:firstLine="560" w:firstLineChars="200"/>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val="0"/>
              <w:spacing w:line="440" w:lineRule="exact"/>
              <w:ind w:right="317" w:rightChars="151" w:firstLine="560" w:firstLineChars="200"/>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val="0"/>
              <w:spacing w:line="440" w:lineRule="exact"/>
              <w:ind w:right="317" w:rightChars="151" w:firstLine="560" w:firstLineChars="200"/>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3</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val="0"/>
              <w:spacing w:line="440" w:lineRule="exact"/>
              <w:ind w:right="317" w:rightChars="151" w:firstLine="560" w:firstLineChars="200"/>
              <w:textAlignment w:val="auto"/>
              <w:rPr>
                <w:rFonts w:hint="eastAsia" w:ascii="黑体" w:hAnsi="黑体" w:eastAsia="黑体" w:cs="黑体"/>
                <w:sz w:val="28"/>
                <w:szCs w:val="28"/>
              </w:rPr>
            </w:pPr>
            <w:r>
              <w:rPr>
                <w:rFonts w:hint="default" w:ascii="Times New Roman" w:hAnsi="Times New Roman" w:eastAsia="仿宋_GB2312" w:cs="Times New Roman"/>
                <w:sz w:val="28"/>
                <w:szCs w:val="28"/>
              </w:rPr>
              <w:t>4</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52" w:hRule="atLeast"/>
          <w:jc w:val="center"/>
        </w:trPr>
        <w:tc>
          <w:tcPr>
            <w:tcW w:w="1075" w:type="pc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接收单位帮办负责人</w:t>
            </w:r>
          </w:p>
        </w:tc>
        <w:tc>
          <w:tcPr>
            <w:tcW w:w="3924" w:type="pct"/>
            <w:gridSpan w:val="5"/>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right="317" w:rightChars="151" w:firstLine="560" w:firstLineChars="200"/>
              <w:textAlignment w:val="auto"/>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216" w:hRule="atLeast"/>
          <w:jc w:val="center"/>
        </w:trPr>
        <w:tc>
          <w:tcPr>
            <w:tcW w:w="1075" w:type="pc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接收单位帮办责任领导</w:t>
            </w:r>
          </w:p>
        </w:tc>
        <w:tc>
          <w:tcPr>
            <w:tcW w:w="3924" w:type="pct"/>
            <w:gridSpan w:val="5"/>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39" w:hRule="atLeast"/>
          <w:jc w:val="center"/>
        </w:trPr>
        <w:tc>
          <w:tcPr>
            <w:tcW w:w="1075" w:type="pc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帮办区领导</w:t>
            </w:r>
          </w:p>
        </w:tc>
        <w:tc>
          <w:tcPr>
            <w:tcW w:w="3924" w:type="pct"/>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39" w:hRule="atLeast"/>
          <w:jc w:val="center"/>
        </w:trPr>
        <w:tc>
          <w:tcPr>
            <w:tcW w:w="1075" w:type="pc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帮办事项完成情况</w:t>
            </w:r>
          </w:p>
        </w:tc>
        <w:tc>
          <w:tcPr>
            <w:tcW w:w="3924" w:type="pct"/>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39" w:hRule="atLeast"/>
          <w:jc w:val="center"/>
        </w:trPr>
        <w:tc>
          <w:tcPr>
            <w:tcW w:w="1075" w:type="pc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备注</w:t>
            </w:r>
          </w:p>
        </w:tc>
        <w:tc>
          <w:tcPr>
            <w:tcW w:w="3924" w:type="pct"/>
            <w:gridSpan w:val="5"/>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黑体" w:hAnsi="黑体" w:eastAsia="黑体" w:cs="黑体"/>
                <w:sz w:val="28"/>
                <w:szCs w:val="28"/>
              </w:rPr>
            </w:pPr>
          </w:p>
        </w:tc>
      </w:tr>
    </w:tbl>
    <w:p>
      <w:pPr>
        <w:rPr>
          <w:rFonts w:hint="eastAsia" w:ascii="仿宋_GB2312" w:hAnsi="方正小标宋简体" w:eastAsia="仿宋_GB2312" w:cs="方正小标宋简体"/>
          <w:szCs w:val="32"/>
        </w:rPr>
      </w:pPr>
      <w:r>
        <w:rPr>
          <w:rFonts w:hint="eastAsia" w:ascii="仿宋_GB2312" w:hAnsi="方正小标宋简体" w:eastAsia="仿宋_GB2312" w:cs="方正小标宋简体"/>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5</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禹会区招商引资项目有效线索表</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引荐单位：              引荐人：          时间：</w:t>
      </w:r>
    </w:p>
    <w:tbl>
      <w:tblPr>
        <w:tblStyle w:val="12"/>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2165"/>
        <w:gridCol w:w="2398"/>
        <w:gridCol w:w="2051"/>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2253" w:type="dxa"/>
            <w:noWrap/>
            <w:vAlign w:val="center"/>
          </w:tcPr>
          <w:p>
            <w:pPr>
              <w:adjustRightInd w:val="0"/>
              <w:snapToGrid w:val="0"/>
              <w:spacing w:line="360" w:lineRule="exact"/>
              <w:jc w:val="center"/>
              <w:rPr>
                <w:rFonts w:hint="eastAsia" w:ascii="黑体" w:hAnsi="黑体" w:eastAsia="黑体" w:cs="黑体"/>
                <w:sz w:val="28"/>
                <w:szCs w:val="28"/>
              </w:rPr>
            </w:pPr>
          </w:p>
        </w:tc>
        <w:tc>
          <w:tcPr>
            <w:tcW w:w="1927"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企业名称</w:t>
            </w:r>
          </w:p>
        </w:tc>
        <w:tc>
          <w:tcPr>
            <w:tcW w:w="2063" w:type="dxa"/>
            <w:noWrap/>
            <w:vAlign w:val="center"/>
          </w:tcPr>
          <w:p>
            <w:pPr>
              <w:adjustRightInd w:val="0"/>
              <w:snapToGrid w:val="0"/>
              <w:spacing w:line="3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企业负责人</w:t>
            </w:r>
          </w:p>
        </w:tc>
        <w:tc>
          <w:tcPr>
            <w:tcW w:w="2253" w:type="dxa"/>
            <w:noWrap/>
            <w:vAlign w:val="center"/>
          </w:tcPr>
          <w:p>
            <w:pPr>
              <w:adjustRightInd w:val="0"/>
              <w:snapToGrid w:val="0"/>
              <w:spacing w:line="360" w:lineRule="exact"/>
              <w:jc w:val="center"/>
              <w:rPr>
                <w:rFonts w:hint="eastAsia" w:ascii="黑体" w:hAnsi="黑体" w:eastAsia="黑体" w:cs="黑体"/>
                <w:sz w:val="28"/>
                <w:szCs w:val="28"/>
              </w:rPr>
            </w:pPr>
          </w:p>
        </w:tc>
        <w:tc>
          <w:tcPr>
            <w:tcW w:w="1927"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企业所在地</w:t>
            </w:r>
          </w:p>
        </w:tc>
        <w:tc>
          <w:tcPr>
            <w:tcW w:w="2063" w:type="dxa"/>
            <w:noWrap/>
            <w:vAlign w:val="center"/>
          </w:tcPr>
          <w:p>
            <w:pPr>
              <w:adjustRightInd w:val="0"/>
              <w:snapToGrid w:val="0"/>
              <w:spacing w:line="3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企业联系人</w:t>
            </w:r>
          </w:p>
        </w:tc>
        <w:tc>
          <w:tcPr>
            <w:tcW w:w="2253" w:type="dxa"/>
            <w:noWrap/>
            <w:vAlign w:val="center"/>
          </w:tcPr>
          <w:p>
            <w:pPr>
              <w:adjustRightInd w:val="0"/>
              <w:snapToGrid w:val="0"/>
              <w:spacing w:line="360" w:lineRule="exact"/>
              <w:jc w:val="center"/>
              <w:rPr>
                <w:rFonts w:hint="eastAsia" w:ascii="黑体" w:hAnsi="黑体" w:eastAsia="黑体" w:cs="黑体"/>
                <w:sz w:val="28"/>
                <w:szCs w:val="28"/>
              </w:rPr>
            </w:pPr>
          </w:p>
        </w:tc>
        <w:tc>
          <w:tcPr>
            <w:tcW w:w="1927"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联系电话</w:t>
            </w:r>
          </w:p>
        </w:tc>
        <w:tc>
          <w:tcPr>
            <w:tcW w:w="2063" w:type="dxa"/>
            <w:noWrap/>
            <w:vAlign w:val="center"/>
          </w:tcPr>
          <w:p>
            <w:pPr>
              <w:adjustRightInd w:val="0"/>
              <w:snapToGrid w:val="0"/>
              <w:spacing w:line="3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注册资金</w:t>
            </w:r>
          </w:p>
        </w:tc>
        <w:tc>
          <w:tcPr>
            <w:tcW w:w="2253" w:type="dxa"/>
            <w:noWrap/>
            <w:vAlign w:val="center"/>
          </w:tcPr>
          <w:p>
            <w:pPr>
              <w:adjustRightInd w:val="0"/>
              <w:snapToGrid w:val="0"/>
              <w:spacing w:line="360" w:lineRule="exact"/>
              <w:jc w:val="center"/>
              <w:rPr>
                <w:rFonts w:hint="eastAsia" w:ascii="黑体" w:hAnsi="黑体" w:eastAsia="黑体" w:cs="黑体"/>
                <w:sz w:val="28"/>
                <w:szCs w:val="28"/>
              </w:rPr>
            </w:pPr>
          </w:p>
        </w:tc>
        <w:tc>
          <w:tcPr>
            <w:tcW w:w="1927"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产业类型</w:t>
            </w:r>
          </w:p>
        </w:tc>
        <w:tc>
          <w:tcPr>
            <w:tcW w:w="2063" w:type="dxa"/>
            <w:noWrap/>
            <w:vAlign w:val="center"/>
          </w:tcPr>
          <w:p>
            <w:pPr>
              <w:adjustRightInd w:val="0"/>
              <w:snapToGrid w:val="0"/>
              <w:spacing w:line="3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项目拟选址地点</w:t>
            </w:r>
          </w:p>
        </w:tc>
        <w:tc>
          <w:tcPr>
            <w:tcW w:w="6243" w:type="dxa"/>
            <w:gridSpan w:val="3"/>
            <w:noWrap/>
            <w:vAlign w:val="center"/>
          </w:tcPr>
          <w:p>
            <w:pPr>
              <w:adjustRightInd w:val="0"/>
              <w:snapToGrid w:val="0"/>
              <w:spacing w:line="3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项目内容</w:t>
            </w:r>
          </w:p>
        </w:tc>
        <w:tc>
          <w:tcPr>
            <w:tcW w:w="6243" w:type="dxa"/>
            <w:gridSpan w:val="3"/>
            <w:noWrap/>
            <w:vAlign w:val="center"/>
          </w:tcPr>
          <w:p>
            <w:pPr>
              <w:adjustRightInd w:val="0"/>
              <w:snapToGrid w:val="0"/>
              <w:spacing w:line="360" w:lineRule="exact"/>
              <w:ind w:firstLine="560" w:firstLineChars="200"/>
              <w:jc w:val="left"/>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主要政策诉求</w:t>
            </w:r>
          </w:p>
        </w:tc>
        <w:tc>
          <w:tcPr>
            <w:tcW w:w="6243" w:type="dxa"/>
            <w:gridSpan w:val="3"/>
            <w:noWrap/>
            <w:vAlign w:val="center"/>
          </w:tcPr>
          <w:p>
            <w:pPr>
              <w:adjustRightInd w:val="0"/>
              <w:snapToGrid w:val="0"/>
              <w:spacing w:line="360" w:lineRule="exact"/>
              <w:jc w:val="left"/>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投资额</w:t>
            </w:r>
          </w:p>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（亿元）</w:t>
            </w:r>
          </w:p>
        </w:tc>
        <w:tc>
          <w:tcPr>
            <w:tcW w:w="2253" w:type="dxa"/>
            <w:noWrap/>
            <w:vAlign w:val="center"/>
          </w:tcPr>
          <w:p>
            <w:pPr>
              <w:adjustRightInd w:val="0"/>
              <w:snapToGrid w:val="0"/>
              <w:spacing w:line="360" w:lineRule="exact"/>
              <w:jc w:val="center"/>
              <w:rPr>
                <w:rFonts w:hint="eastAsia" w:ascii="黑体" w:hAnsi="黑体" w:eastAsia="黑体" w:cs="黑体"/>
                <w:sz w:val="28"/>
                <w:szCs w:val="28"/>
              </w:rPr>
            </w:pPr>
          </w:p>
        </w:tc>
        <w:tc>
          <w:tcPr>
            <w:tcW w:w="1927"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拟计划用地</w:t>
            </w:r>
          </w:p>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（亩）</w:t>
            </w:r>
          </w:p>
        </w:tc>
        <w:tc>
          <w:tcPr>
            <w:tcW w:w="2063" w:type="dxa"/>
            <w:noWrap/>
            <w:vAlign w:val="center"/>
          </w:tcPr>
          <w:p>
            <w:pPr>
              <w:adjustRightInd w:val="0"/>
              <w:snapToGrid w:val="0"/>
              <w:spacing w:line="3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预计税收</w:t>
            </w:r>
          </w:p>
        </w:tc>
        <w:tc>
          <w:tcPr>
            <w:tcW w:w="2253" w:type="dxa"/>
            <w:noWrap/>
            <w:vAlign w:val="center"/>
          </w:tcPr>
          <w:p>
            <w:pPr>
              <w:adjustRightInd w:val="0"/>
              <w:snapToGrid w:val="0"/>
              <w:spacing w:line="360" w:lineRule="exact"/>
              <w:rPr>
                <w:rFonts w:hint="eastAsia" w:ascii="黑体" w:hAnsi="黑体" w:eastAsia="黑体" w:cs="黑体"/>
                <w:sz w:val="28"/>
                <w:szCs w:val="28"/>
              </w:rPr>
            </w:pPr>
          </w:p>
        </w:tc>
        <w:tc>
          <w:tcPr>
            <w:tcW w:w="1927"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预计亩均税收</w:t>
            </w:r>
          </w:p>
        </w:tc>
        <w:tc>
          <w:tcPr>
            <w:tcW w:w="2063" w:type="dxa"/>
            <w:noWrap/>
            <w:vAlign w:val="center"/>
          </w:tcPr>
          <w:p>
            <w:pPr>
              <w:adjustRightInd w:val="0"/>
              <w:snapToGrid w:val="0"/>
              <w:spacing w:line="3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其它事项</w:t>
            </w:r>
          </w:p>
        </w:tc>
        <w:tc>
          <w:tcPr>
            <w:tcW w:w="6243" w:type="dxa"/>
            <w:gridSpan w:val="3"/>
            <w:noWrap/>
            <w:vAlign w:val="center"/>
          </w:tcPr>
          <w:p>
            <w:pPr>
              <w:adjustRightInd w:val="0"/>
              <w:snapToGrid w:val="0"/>
              <w:spacing w:line="360" w:lineRule="exact"/>
              <w:jc w:val="left"/>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项目引荐</w:t>
            </w:r>
          </w:p>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单位意见</w:t>
            </w:r>
          </w:p>
        </w:tc>
        <w:tc>
          <w:tcPr>
            <w:tcW w:w="6243" w:type="dxa"/>
            <w:gridSpan w:val="3"/>
            <w:noWrap/>
            <w:vAlign w:val="center"/>
          </w:tcPr>
          <w:p>
            <w:pPr>
              <w:adjustRightInd w:val="0"/>
              <w:snapToGrid w:val="0"/>
              <w:spacing w:line="360" w:lineRule="exact"/>
              <w:jc w:val="left"/>
              <w:rPr>
                <w:rFonts w:hint="eastAsia" w:ascii="黑体" w:hAnsi="黑体" w:eastAsia="黑体" w:cs="黑体"/>
                <w:sz w:val="28"/>
                <w:szCs w:val="28"/>
              </w:rPr>
            </w:pPr>
          </w:p>
          <w:p>
            <w:pPr>
              <w:adjustRightInd w:val="0"/>
              <w:snapToGrid w:val="0"/>
              <w:spacing w:line="360" w:lineRule="exact"/>
              <w:jc w:val="left"/>
              <w:rPr>
                <w:rFonts w:hint="eastAsia" w:ascii="黑体" w:hAnsi="黑体" w:eastAsia="黑体" w:cs="黑体"/>
                <w:sz w:val="28"/>
                <w:szCs w:val="28"/>
              </w:rPr>
            </w:pPr>
          </w:p>
          <w:p>
            <w:pPr>
              <w:adjustRightInd w:val="0"/>
              <w:snapToGrid w:val="0"/>
              <w:spacing w:line="360" w:lineRule="exact"/>
              <w:jc w:val="left"/>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jc w:val="center"/>
        </w:trPr>
        <w:tc>
          <w:tcPr>
            <w:tcW w:w="2034" w:type="dxa"/>
            <w:noWrap/>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区招商引资办公室意见</w:t>
            </w:r>
          </w:p>
        </w:tc>
        <w:tc>
          <w:tcPr>
            <w:tcW w:w="6243" w:type="dxa"/>
            <w:gridSpan w:val="3"/>
            <w:noWrap/>
            <w:vAlign w:val="center"/>
          </w:tcPr>
          <w:p>
            <w:pPr>
              <w:adjustRightInd w:val="0"/>
              <w:snapToGrid w:val="0"/>
              <w:spacing w:line="360" w:lineRule="exact"/>
              <w:jc w:val="left"/>
              <w:rPr>
                <w:rFonts w:hint="eastAsia" w:ascii="黑体" w:hAnsi="黑体" w:eastAsia="黑体" w:cs="黑体"/>
                <w:sz w:val="28"/>
                <w:szCs w:val="28"/>
              </w:rPr>
            </w:pPr>
          </w:p>
          <w:p>
            <w:pPr>
              <w:adjustRightInd w:val="0"/>
              <w:snapToGrid w:val="0"/>
              <w:spacing w:line="360" w:lineRule="exact"/>
              <w:jc w:val="left"/>
              <w:rPr>
                <w:rFonts w:hint="eastAsia" w:ascii="黑体" w:hAnsi="黑体" w:eastAsia="黑体" w:cs="黑体"/>
                <w:sz w:val="28"/>
                <w:szCs w:val="28"/>
              </w:rPr>
            </w:pPr>
          </w:p>
          <w:p>
            <w:pPr>
              <w:adjustRightInd w:val="0"/>
              <w:snapToGrid w:val="0"/>
              <w:spacing w:line="360" w:lineRule="exact"/>
              <w:jc w:val="left"/>
              <w:rPr>
                <w:rFonts w:hint="eastAsia" w:ascii="黑体" w:hAnsi="黑体" w:eastAsia="黑体" w:cs="黑体"/>
                <w:sz w:val="28"/>
                <w:szCs w:val="28"/>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注：</w:t>
      </w:r>
      <w:r>
        <w:rPr>
          <w:rFonts w:hint="default" w:ascii="Times New Roman" w:hAnsi="Times New Roman" w:eastAsia="仿宋_GB2312" w:cs="Times New Roman"/>
          <w:b w:val="0"/>
          <w:bCs w:val="0"/>
          <w:sz w:val="28"/>
          <w:szCs w:val="28"/>
        </w:rPr>
        <w:t>1</w:t>
      </w:r>
      <w:r>
        <w:rPr>
          <w:rFonts w:hint="eastAsia" w:ascii="仿宋_GB2312" w:hAnsi="仿宋_GB2312" w:eastAsia="仿宋_GB2312" w:cs="仿宋_GB2312"/>
          <w:b w:val="0"/>
          <w:bCs w:val="0"/>
          <w:sz w:val="28"/>
          <w:szCs w:val="28"/>
        </w:rPr>
        <w:t>.若有效项目线索转化成功，则签约项目认定给最先备案单位</w:t>
      </w:r>
    </w:p>
    <w:p>
      <w:p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6</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禹会区招商引资单位（个人）项目备案表</w:t>
      </w:r>
    </w:p>
    <w:tbl>
      <w:tblPr>
        <w:tblStyle w:val="12"/>
        <w:tblW w:w="8804" w:type="dxa"/>
        <w:tblInd w:w="91" w:type="dxa"/>
        <w:tblLayout w:type="autofit"/>
        <w:tblCellMar>
          <w:top w:w="0" w:type="dxa"/>
          <w:left w:w="108" w:type="dxa"/>
          <w:bottom w:w="0" w:type="dxa"/>
          <w:right w:w="108" w:type="dxa"/>
        </w:tblCellMar>
      </w:tblPr>
      <w:tblGrid>
        <w:gridCol w:w="1951"/>
        <w:gridCol w:w="1425"/>
        <w:gridCol w:w="1200"/>
        <w:gridCol w:w="1125"/>
        <w:gridCol w:w="1402"/>
        <w:gridCol w:w="1701"/>
      </w:tblGrid>
      <w:tr>
        <w:tblPrEx>
          <w:tblCellMar>
            <w:top w:w="0" w:type="dxa"/>
            <w:left w:w="108" w:type="dxa"/>
            <w:bottom w:w="0" w:type="dxa"/>
            <w:right w:w="108" w:type="dxa"/>
          </w:tblCellMar>
        </w:tblPrEx>
        <w:trPr>
          <w:cantSplit/>
          <w:trHeight w:val="737"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引进部门</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黑体" w:hAnsi="黑体" w:eastAsia="黑体" w:cs="黑体"/>
                <w:sz w:val="28"/>
                <w:szCs w:val="28"/>
              </w:rPr>
            </w:pPr>
            <w:r>
              <w:rPr>
                <w:rFonts w:hint="eastAsia" w:ascii="黑体" w:hAnsi="黑体" w:eastAsia="黑体" w:cs="黑体"/>
                <w:sz w:val="28"/>
                <w:szCs w:val="28"/>
              </w:rPr>
              <w:t xml:space="preserve">     </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引荐人</w:t>
            </w: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p>
        </w:tc>
        <w:tc>
          <w:tcPr>
            <w:tcW w:w="14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联系电话</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黑体" w:hAnsi="黑体" w:eastAsia="黑体" w:cs="黑体"/>
                <w:sz w:val="28"/>
                <w:szCs w:val="28"/>
              </w:rPr>
            </w:pPr>
            <w:r>
              <w:rPr>
                <w:rFonts w:hint="eastAsia" w:ascii="黑体" w:hAnsi="黑体" w:eastAsia="黑体" w:cs="黑体"/>
                <w:sz w:val="28"/>
                <w:szCs w:val="28"/>
              </w:rPr>
              <w:t>　</w:t>
            </w:r>
          </w:p>
        </w:tc>
      </w:tr>
      <w:tr>
        <w:tblPrEx>
          <w:tblCellMar>
            <w:top w:w="0" w:type="dxa"/>
            <w:left w:w="108" w:type="dxa"/>
            <w:bottom w:w="0" w:type="dxa"/>
            <w:right w:w="108" w:type="dxa"/>
          </w:tblCellMar>
        </w:tblPrEx>
        <w:trPr>
          <w:cantSplit/>
          <w:trHeight w:val="737" w:hRule="atLeast"/>
        </w:trPr>
        <w:tc>
          <w:tcPr>
            <w:tcW w:w="19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联系电话</w:t>
            </w:r>
          </w:p>
        </w:tc>
        <w:tc>
          <w:tcPr>
            <w:tcW w:w="2625"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黑体" w:hAnsi="黑体" w:eastAsia="黑体" w:cs="黑体"/>
                <w:sz w:val="28"/>
                <w:szCs w:val="28"/>
              </w:rPr>
            </w:pPr>
            <w:r>
              <w:rPr>
                <w:rFonts w:hint="eastAsia" w:ascii="黑体" w:hAnsi="黑体" w:eastAsia="黑体" w:cs="黑体"/>
                <w:sz w:val="28"/>
                <w:szCs w:val="28"/>
              </w:rPr>
              <w:t xml:space="preserve"> </w:t>
            </w:r>
          </w:p>
        </w:tc>
        <w:tc>
          <w:tcPr>
            <w:tcW w:w="25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电子邮箱</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黑体" w:hAnsi="黑体" w:eastAsia="黑体" w:cs="黑体"/>
                <w:sz w:val="28"/>
                <w:szCs w:val="28"/>
              </w:rPr>
            </w:pPr>
            <w:r>
              <w:rPr>
                <w:rFonts w:hint="eastAsia" w:ascii="黑体" w:hAnsi="黑体" w:eastAsia="黑体" w:cs="黑体"/>
                <w:sz w:val="28"/>
                <w:szCs w:val="28"/>
              </w:rPr>
              <w:t>　</w:t>
            </w:r>
          </w:p>
        </w:tc>
      </w:tr>
      <w:tr>
        <w:tblPrEx>
          <w:tblCellMar>
            <w:top w:w="0" w:type="dxa"/>
            <w:left w:w="108" w:type="dxa"/>
            <w:bottom w:w="0" w:type="dxa"/>
            <w:right w:w="108" w:type="dxa"/>
          </w:tblCellMar>
        </w:tblPrEx>
        <w:trPr>
          <w:cantSplit/>
          <w:trHeight w:val="737" w:hRule="atLeast"/>
        </w:trPr>
        <w:tc>
          <w:tcPr>
            <w:tcW w:w="19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项目名称</w:t>
            </w:r>
          </w:p>
        </w:tc>
        <w:tc>
          <w:tcPr>
            <w:tcW w:w="685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480" w:lineRule="exact"/>
              <w:ind w:left="0" w:leftChars="0" w:right="0"/>
              <w:jc w:val="center"/>
              <w:textAlignment w:val="auto"/>
              <w:rPr>
                <w:rFonts w:hint="eastAsia" w:ascii="仿宋_GB2312" w:hAnsi="仿宋_GB2312" w:eastAsia="仿宋_GB2312" w:cs="仿宋_GB2312"/>
                <w:sz w:val="28"/>
                <w:szCs w:val="28"/>
                <w:lang w:bidi="ar"/>
              </w:rPr>
            </w:pPr>
          </w:p>
        </w:tc>
      </w:tr>
      <w:tr>
        <w:tblPrEx>
          <w:tblCellMar>
            <w:top w:w="0" w:type="dxa"/>
            <w:left w:w="108" w:type="dxa"/>
            <w:bottom w:w="0" w:type="dxa"/>
            <w:right w:w="108" w:type="dxa"/>
          </w:tblCellMar>
        </w:tblPrEx>
        <w:trPr>
          <w:cantSplit/>
          <w:trHeight w:val="737" w:hRule="atLeast"/>
        </w:trPr>
        <w:tc>
          <w:tcPr>
            <w:tcW w:w="19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项目地址</w:t>
            </w:r>
          </w:p>
        </w:tc>
        <w:tc>
          <w:tcPr>
            <w:tcW w:w="685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480" w:lineRule="exact"/>
              <w:ind w:left="0" w:leftChars="0" w:right="0" w:firstLine="560" w:firstLineChars="200"/>
              <w:jc w:val="left"/>
              <w:textAlignment w:val="auto"/>
              <w:rPr>
                <w:rFonts w:hint="eastAsia" w:ascii="仿宋_GB2312" w:hAnsi="仿宋_GB2312" w:eastAsia="仿宋_GB2312" w:cs="仿宋_GB2312"/>
                <w:sz w:val="28"/>
                <w:szCs w:val="28"/>
                <w:lang w:bidi="ar"/>
              </w:rPr>
            </w:pPr>
          </w:p>
        </w:tc>
      </w:tr>
      <w:tr>
        <w:tblPrEx>
          <w:tblCellMar>
            <w:top w:w="0" w:type="dxa"/>
            <w:left w:w="108" w:type="dxa"/>
            <w:bottom w:w="0" w:type="dxa"/>
            <w:right w:w="108" w:type="dxa"/>
          </w:tblCellMar>
        </w:tblPrEx>
        <w:trPr>
          <w:cantSplit/>
          <w:trHeight w:val="2665" w:hRule="atLeast"/>
        </w:trPr>
        <w:tc>
          <w:tcPr>
            <w:tcW w:w="19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投资方概况</w:t>
            </w:r>
          </w:p>
        </w:tc>
        <w:tc>
          <w:tcPr>
            <w:tcW w:w="685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   </w:t>
            </w:r>
          </w:p>
        </w:tc>
      </w:tr>
      <w:tr>
        <w:tblPrEx>
          <w:tblCellMar>
            <w:top w:w="0" w:type="dxa"/>
            <w:left w:w="108" w:type="dxa"/>
            <w:bottom w:w="0" w:type="dxa"/>
            <w:right w:w="108" w:type="dxa"/>
          </w:tblCellMar>
        </w:tblPrEx>
        <w:trPr>
          <w:cantSplit/>
          <w:trHeight w:val="2665" w:hRule="atLeast"/>
        </w:trPr>
        <w:tc>
          <w:tcPr>
            <w:tcW w:w="19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项目简介</w:t>
            </w:r>
          </w:p>
        </w:tc>
        <w:tc>
          <w:tcPr>
            <w:tcW w:w="685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480" w:lineRule="exact"/>
              <w:ind w:left="0" w:leftChars="0" w:right="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 　</w:t>
            </w:r>
          </w:p>
        </w:tc>
      </w:tr>
      <w:tr>
        <w:tblPrEx>
          <w:tblCellMar>
            <w:top w:w="0" w:type="dxa"/>
            <w:left w:w="108" w:type="dxa"/>
            <w:bottom w:w="0" w:type="dxa"/>
            <w:right w:w="108" w:type="dxa"/>
          </w:tblCellMar>
        </w:tblPrEx>
        <w:trPr>
          <w:cantSplit/>
          <w:trHeight w:val="2665" w:hRule="atLeast"/>
        </w:trPr>
        <w:tc>
          <w:tcPr>
            <w:tcW w:w="19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lang w:eastAsia="zh-CN"/>
              </w:rPr>
              <w:t>引</w:t>
            </w:r>
            <w:r>
              <w:rPr>
                <w:rFonts w:hint="eastAsia" w:ascii="黑体" w:hAnsi="黑体" w:eastAsia="黑体" w:cs="黑体"/>
                <w:kern w:val="0"/>
                <w:sz w:val="28"/>
                <w:szCs w:val="28"/>
              </w:rPr>
              <w:t>进过程说明</w:t>
            </w:r>
          </w:p>
        </w:tc>
        <w:tc>
          <w:tcPr>
            <w:tcW w:w="685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480" w:lineRule="exact"/>
              <w:ind w:left="0" w:leftChars="0" w:right="0" w:firstLine="0" w:firstLineChars="0"/>
              <w:textAlignment w:val="auto"/>
              <w:rPr>
                <w:rFonts w:hint="eastAsia" w:ascii="仿宋_GB2312" w:hAnsi="仿宋_GB2312" w:eastAsia="仿宋_GB2312" w:cs="仿宋_GB2312"/>
                <w:sz w:val="28"/>
                <w:szCs w:val="28"/>
                <w:lang w:bidi="ar"/>
              </w:rPr>
            </w:pPr>
          </w:p>
        </w:tc>
      </w:tr>
      <w:tr>
        <w:tblPrEx>
          <w:tblCellMar>
            <w:top w:w="0" w:type="dxa"/>
            <w:left w:w="108" w:type="dxa"/>
            <w:bottom w:w="0" w:type="dxa"/>
            <w:right w:w="108" w:type="dxa"/>
          </w:tblCellMar>
        </w:tblPrEx>
        <w:trPr>
          <w:cantSplit/>
          <w:trHeight w:val="2268"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center"/>
              <w:textAlignment w:val="auto"/>
              <w:rPr>
                <w:rFonts w:hint="eastAsia" w:ascii="黑体" w:hAnsi="黑体" w:eastAsia="黑体" w:cs="黑体"/>
                <w:kern w:val="0"/>
                <w:sz w:val="28"/>
                <w:szCs w:val="28"/>
              </w:rPr>
            </w:pPr>
            <w:r>
              <w:rPr>
                <w:rFonts w:hint="eastAsia" w:ascii="黑体" w:hAnsi="黑体" w:eastAsia="黑体" w:cs="黑体"/>
                <w:sz w:val="28"/>
                <w:szCs w:val="28"/>
              </w:rPr>
              <w:t>引进承诺</w:t>
            </w:r>
          </w:p>
        </w:tc>
        <w:tc>
          <w:tcPr>
            <w:tcW w:w="685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480" w:lineRule="exact"/>
              <w:ind w:left="0" w:leftChars="0" w:right="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兹承诺该项目由本单位引进落户禹会区。如有不实，本单位愿意退回所领奖金，并承担相应责任。</w:t>
            </w:r>
          </w:p>
          <w:p>
            <w:pPr>
              <w:keepNext w:val="0"/>
              <w:keepLines w:val="0"/>
              <w:pageBreakBefore w:val="0"/>
              <w:kinsoku/>
              <w:wordWrap/>
              <w:overflowPunct/>
              <w:topLinePunct w:val="0"/>
              <w:autoSpaceDE/>
              <w:autoSpaceDN/>
              <w:bidi w:val="0"/>
              <w:adjustRightInd/>
              <w:snapToGrid/>
              <w:spacing w:beforeAutospacing="0" w:line="480" w:lineRule="exact"/>
              <w:ind w:left="0" w:leftChars="0" w:right="0" w:firstLine="0" w:firstLineChars="0"/>
              <w:jc w:val="lef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beforeAutospacing="0" w:line="480" w:lineRule="exact"/>
              <w:ind w:left="0" w:leftChars="0" w:righ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单位主要负责人：（签字）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w:t>
            </w:r>
          </w:p>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tblPrEx>
          <w:tblCellMar>
            <w:top w:w="0" w:type="dxa"/>
            <w:left w:w="108" w:type="dxa"/>
            <w:bottom w:w="0" w:type="dxa"/>
            <w:right w:w="108" w:type="dxa"/>
          </w:tblCellMar>
        </w:tblPrEx>
        <w:trPr>
          <w:cantSplit/>
          <w:trHeight w:val="2268" w:hRule="atLeast"/>
        </w:trPr>
        <w:tc>
          <w:tcPr>
            <w:tcW w:w="1951"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投资方投资</w:t>
            </w:r>
            <w:r>
              <w:rPr>
                <w:rFonts w:hint="eastAsia" w:ascii="黑体" w:hAnsi="黑体" w:eastAsia="黑体" w:cs="黑体"/>
                <w:kern w:val="0"/>
                <w:sz w:val="28"/>
                <w:szCs w:val="28"/>
                <w:lang w:eastAsia="zh-CN"/>
              </w:rPr>
              <w:t>投资</w:t>
            </w:r>
            <w:r>
              <w:rPr>
                <w:rFonts w:hint="eastAsia" w:ascii="黑体" w:hAnsi="黑体" w:eastAsia="黑体" w:cs="黑体"/>
                <w:kern w:val="0"/>
                <w:sz w:val="28"/>
                <w:szCs w:val="28"/>
              </w:rPr>
              <w:t>方意见</w:t>
            </w:r>
          </w:p>
        </w:tc>
        <w:tc>
          <w:tcPr>
            <w:tcW w:w="6853" w:type="dxa"/>
            <w:gridSpan w:val="5"/>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此项目确系</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引进落户。</w:t>
            </w:r>
          </w:p>
          <w:p>
            <w:pPr>
              <w:pStyle w:val="11"/>
              <w:keepNext w:val="0"/>
              <w:keepLines w:val="0"/>
              <w:pageBreakBefore w:val="0"/>
              <w:kinsoku/>
              <w:wordWrap/>
              <w:overflowPunct/>
              <w:topLinePunct w:val="0"/>
              <w:autoSpaceDE/>
              <w:autoSpaceDN/>
              <w:bidi w:val="0"/>
              <w:adjustRightInd/>
              <w:snapToGrid/>
              <w:spacing w:before="0" w:beforeAutospacing="0" w:after="0" w:line="480" w:lineRule="exact"/>
              <w:ind w:left="0" w:leftChars="0" w:right="0" w:firstLine="0" w:firstLineChars="0"/>
              <w:jc w:val="left"/>
              <w:textAlignment w:val="auto"/>
              <w:rPr>
                <w:rFonts w:hint="eastAsia" w:ascii="仿宋_GB2312" w:hAnsi="仿宋_GB2312" w:eastAsia="仿宋_GB2312" w:cs="仿宋_GB2312"/>
                <w:sz w:val="28"/>
                <w:szCs w:val="28"/>
              </w:rPr>
            </w:pPr>
          </w:p>
          <w:p>
            <w:pPr>
              <w:pStyle w:val="11"/>
              <w:keepNext w:val="0"/>
              <w:keepLines w:val="0"/>
              <w:pageBreakBefore w:val="0"/>
              <w:kinsoku/>
              <w:wordWrap/>
              <w:overflowPunct/>
              <w:topLinePunct w:val="0"/>
              <w:autoSpaceDE/>
              <w:autoSpaceDN/>
              <w:bidi w:val="0"/>
              <w:adjustRightInd/>
              <w:snapToGrid/>
              <w:spacing w:before="0" w:beforeAutospacing="0" w:after="0" w:line="480" w:lineRule="exact"/>
              <w:ind w:left="0" w:leftChars="0" w:right="0" w:firstLine="0" w:firstLineChars="0"/>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（盖章）</w:t>
            </w:r>
          </w:p>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firstLine="4480" w:firstLineChars="16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r>
        <w:tblPrEx>
          <w:tblCellMar>
            <w:top w:w="0" w:type="dxa"/>
            <w:left w:w="108" w:type="dxa"/>
            <w:bottom w:w="0" w:type="dxa"/>
            <w:right w:w="108" w:type="dxa"/>
          </w:tblCellMar>
        </w:tblPrEx>
        <w:trPr>
          <w:cantSplit/>
          <w:trHeight w:val="312" w:hRule="atLeast"/>
        </w:trPr>
        <w:tc>
          <w:tcPr>
            <w:tcW w:w="1951"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黑体" w:hAnsi="黑体" w:eastAsia="黑体" w:cs="黑体"/>
                <w:kern w:val="0"/>
                <w:sz w:val="28"/>
                <w:szCs w:val="28"/>
              </w:rPr>
            </w:pPr>
          </w:p>
        </w:tc>
        <w:tc>
          <w:tcPr>
            <w:tcW w:w="6853" w:type="dxa"/>
            <w:gridSpan w:val="5"/>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cantSplit/>
          <w:trHeight w:val="312" w:hRule="atLeast"/>
        </w:trPr>
        <w:tc>
          <w:tcPr>
            <w:tcW w:w="1951"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黑体" w:hAnsi="黑体" w:eastAsia="黑体" w:cs="黑体"/>
                <w:kern w:val="0"/>
                <w:sz w:val="28"/>
                <w:szCs w:val="28"/>
              </w:rPr>
            </w:pPr>
          </w:p>
        </w:tc>
        <w:tc>
          <w:tcPr>
            <w:tcW w:w="6853" w:type="dxa"/>
            <w:gridSpan w:val="5"/>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cantSplit/>
          <w:trHeight w:val="312" w:hRule="atLeast"/>
        </w:trPr>
        <w:tc>
          <w:tcPr>
            <w:tcW w:w="1951"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黑体" w:hAnsi="黑体" w:eastAsia="黑体" w:cs="黑体"/>
                <w:kern w:val="0"/>
                <w:sz w:val="28"/>
                <w:szCs w:val="28"/>
              </w:rPr>
            </w:pPr>
          </w:p>
        </w:tc>
        <w:tc>
          <w:tcPr>
            <w:tcW w:w="6853" w:type="dxa"/>
            <w:gridSpan w:val="5"/>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cantSplit/>
          <w:trHeight w:val="3402" w:hRule="atLeast"/>
        </w:trPr>
        <w:tc>
          <w:tcPr>
            <w:tcW w:w="19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县、区（开发区）意见</w:t>
            </w:r>
          </w:p>
        </w:tc>
        <w:tc>
          <w:tcPr>
            <w:tcW w:w="6853"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此项目确系</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引进落户。如有不实，本单位自愿取消年度评优资格，并承担相应责任。</w:t>
            </w:r>
          </w:p>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textAlignment w:val="auto"/>
              <w:rPr>
                <w:rFonts w:hint="eastAsia" w:ascii="仿宋_GB2312" w:hAnsi="仿宋_GB2312" w:eastAsia="仿宋_GB2312" w:cs="仿宋_GB2312"/>
                <w:kern w:val="0"/>
                <w:sz w:val="28"/>
                <w:szCs w:val="28"/>
              </w:rPr>
            </w:pPr>
          </w:p>
          <w:p>
            <w:pPr>
              <w:pStyle w:val="11"/>
              <w:keepNext w:val="0"/>
              <w:keepLines w:val="0"/>
              <w:pageBreakBefore w:val="0"/>
              <w:kinsoku/>
              <w:wordWrap/>
              <w:overflowPunct/>
              <w:topLinePunct w:val="0"/>
              <w:autoSpaceDE/>
              <w:autoSpaceDN/>
              <w:bidi w:val="0"/>
              <w:adjustRightInd/>
              <w:snapToGrid/>
              <w:spacing w:before="0" w:beforeAutospacing="0" w:after="0" w:line="480" w:lineRule="exact"/>
              <w:ind w:left="0" w:leftChars="0" w:right="0" w:firstLine="0" w:firstLineChars="0"/>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beforeAutospacing="0" w:line="480" w:lineRule="exact"/>
              <w:ind w:left="4760" w:leftChars="0" w:right="0" w:hanging="4760" w:hangingChars="1700"/>
              <w:textAlignment w:val="auto"/>
              <w:rPr>
                <w:rFonts w:hint="eastAsia" w:ascii="仿宋_GB2312" w:hAnsi="仿宋_GB2312" w:eastAsia="仿宋_GB2312" w:cs="仿宋_GB2312"/>
                <w:w w:val="80"/>
                <w:kern w:val="0"/>
                <w:sz w:val="28"/>
                <w:szCs w:val="28"/>
              </w:rPr>
            </w:pPr>
            <w:r>
              <w:rPr>
                <w:rFonts w:hint="eastAsia" w:ascii="仿宋_GB2312" w:hAnsi="仿宋_GB2312" w:eastAsia="仿宋_GB2312" w:cs="仿宋_GB2312"/>
                <w:kern w:val="0"/>
                <w:sz w:val="28"/>
                <w:szCs w:val="28"/>
              </w:rPr>
              <w:t xml:space="preserve">县、区政府（开发区管委会）主要负责人：（签字）   </w:t>
            </w:r>
            <w:r>
              <w:rPr>
                <w:rFonts w:hint="eastAsia" w:ascii="仿宋_GB2312" w:hAnsi="仿宋_GB2312" w:eastAsia="仿宋_GB2312" w:cs="仿宋_GB2312"/>
                <w:w w:val="8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line="480" w:lineRule="exact"/>
              <w:ind w:left="3808" w:leftChars="0" w:right="0" w:hanging="3808" w:hangingChars="1700"/>
              <w:textAlignment w:val="auto"/>
              <w:rPr>
                <w:rFonts w:hint="eastAsia" w:ascii="仿宋_GB2312" w:hAnsi="仿宋_GB2312" w:eastAsia="仿宋_GB2312" w:cs="仿宋_GB2312"/>
                <w:w w:val="80"/>
                <w:kern w:val="0"/>
                <w:sz w:val="28"/>
                <w:szCs w:val="28"/>
              </w:rPr>
            </w:pPr>
          </w:p>
          <w:p>
            <w:pPr>
              <w:keepNext w:val="0"/>
              <w:keepLines w:val="0"/>
              <w:pageBreakBefore w:val="0"/>
              <w:widowControl/>
              <w:kinsoku/>
              <w:wordWrap/>
              <w:overflowPunct/>
              <w:topLinePunct w:val="0"/>
              <w:autoSpaceDE/>
              <w:autoSpaceDN/>
              <w:bidi w:val="0"/>
              <w:adjustRightInd/>
              <w:snapToGrid/>
              <w:spacing w:beforeAutospacing="0" w:line="480" w:lineRule="exact"/>
              <w:ind w:right="0" w:firstLine="4760" w:firstLineChars="17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（盖章）</w:t>
            </w:r>
          </w:p>
          <w:p>
            <w:pPr>
              <w:keepNext w:val="0"/>
              <w:keepLines w:val="0"/>
              <w:pageBreakBefore w:val="0"/>
              <w:widowControl/>
              <w:kinsoku/>
              <w:wordWrap/>
              <w:overflowPunct/>
              <w:topLinePunct w:val="0"/>
              <w:autoSpaceDE/>
              <w:autoSpaceDN/>
              <w:bidi w:val="0"/>
              <w:adjustRightInd/>
              <w:snapToGrid/>
              <w:spacing w:beforeAutospacing="0" w:line="480" w:lineRule="exact"/>
              <w:ind w:left="0" w:leftChars="0" w:right="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年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月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日</w:t>
            </w:r>
          </w:p>
        </w:tc>
      </w:tr>
    </w:tbl>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eastAsia="仿宋_GB2312"/>
          <w:kern w:val="0"/>
          <w:sz w:val="24"/>
          <w:szCs w:val="24"/>
        </w:rPr>
      </w:pPr>
      <w:r>
        <w:rPr>
          <w:rFonts w:eastAsia="仿宋_GB2312"/>
          <w:kern w:val="0"/>
          <w:sz w:val="24"/>
          <w:szCs w:val="24"/>
        </w:rPr>
        <w:t>填表说明：引进签约项目，需是前期投资线索报送的项目。项目签定投资协议后</w:t>
      </w:r>
      <w:r>
        <w:rPr>
          <w:rFonts w:hint="default" w:ascii="Times New Roman" w:hAnsi="Times New Roman" w:eastAsia="仿宋_GB2312" w:cs="Times New Roman"/>
          <w:kern w:val="0"/>
          <w:sz w:val="24"/>
          <w:szCs w:val="24"/>
        </w:rPr>
        <w:t>10</w:t>
      </w:r>
      <w:r>
        <w:rPr>
          <w:rFonts w:eastAsia="仿宋_GB2312"/>
          <w:kern w:val="0"/>
          <w:sz w:val="24"/>
          <w:szCs w:val="24"/>
        </w:rPr>
        <w:t>个工作日内，向</w:t>
      </w:r>
      <w:r>
        <w:rPr>
          <w:rFonts w:hint="eastAsia" w:eastAsia="仿宋_GB2312"/>
          <w:kern w:val="0"/>
          <w:sz w:val="24"/>
          <w:szCs w:val="24"/>
        </w:rPr>
        <w:t>区投资促进局</w:t>
      </w:r>
      <w:r>
        <w:rPr>
          <w:rFonts w:eastAsia="仿宋_GB2312"/>
          <w:kern w:val="0"/>
          <w:sz w:val="24"/>
          <w:szCs w:val="24"/>
        </w:rPr>
        <w:t>报送经</w:t>
      </w:r>
      <w:r>
        <w:rPr>
          <w:rFonts w:hint="eastAsia" w:eastAsia="仿宋_GB2312"/>
          <w:kern w:val="0"/>
          <w:sz w:val="24"/>
          <w:szCs w:val="24"/>
        </w:rPr>
        <w:t>单位</w:t>
      </w:r>
      <w:r>
        <w:rPr>
          <w:rFonts w:eastAsia="仿宋_GB2312"/>
          <w:kern w:val="0"/>
          <w:sz w:val="24"/>
          <w:szCs w:val="24"/>
        </w:rPr>
        <w:t xml:space="preserve">和企业确认的《市直单位招商项目引进备案表》及相关项目材料。  </w:t>
      </w: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br w:type="page"/>
      </w: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firstLine="0" w:firstLineChars="0"/>
        <w:textAlignment w:val="auto"/>
        <w:rPr>
          <w:rFonts w:hint="eastAsia" w:ascii="仿宋_GB2312" w:hAnsi="仿宋_GB2312" w:eastAsia="仿宋_GB2312" w:cs="仿宋_GB2312"/>
          <w:spacing w:val="0"/>
          <w:sz w:val="28"/>
          <w:szCs w:val="28"/>
          <w:highlight w:val="none"/>
        </w:rPr>
      </w:pPr>
      <w:r>
        <w:rPr>
          <w:rFonts w:hint="eastAsia" w:ascii="仿宋_GB2312" w:hAnsi="仿宋_GB2312" w:eastAsia="仿宋_GB2312" w:cs="仿宋_GB2312"/>
          <w:spacing w:val="0"/>
          <w:sz w:val="28"/>
          <w:szCs w:val="28"/>
          <w:highlight w:val="none"/>
        </w:rPr>
        <w:t>中共蚌埠市禹会区委办公室</w:t>
      </w:r>
      <w:r>
        <w:rPr>
          <w:rFonts w:hint="eastAsia" w:ascii="仿宋_GB2312" w:hAnsi="仿宋_GB2312" w:eastAsia="仿宋_GB2312" w:cs="仿宋_GB2312"/>
          <w:spacing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33020</wp:posOffset>
                </wp:positionV>
                <wp:extent cx="5615940" cy="0"/>
                <wp:effectExtent l="0" t="9525" r="3810" b="9525"/>
                <wp:wrapNone/>
                <wp:docPr id="18" name="直接连接符 18"/>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pt;height:0pt;width:442.2pt;z-index:251665408;mso-width-relative:page;mso-height-relative:page;" filled="f" stroked="t" coordsize="21600,21600" o:gfxdata="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1BDQ0gAAAAQBAAAPAAAAAAAAAAEAIAAAACIAAABkcnMvZG93bnJldi54bWxQSwEC&#10;FAAUAAAACACHTuJArIn+NfoBAAD1AwAADgAAAAAAAAABACAAAAAhAQAAZHJzL2Uyb0RvYy54bWxQ&#10;SwUGAAAAAAYABgBZAQAAj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spacing w:val="0"/>
          <w:sz w:val="28"/>
          <w:szCs w:val="28"/>
          <w:highlight w:val="none"/>
        </w:rPr>
        <w:t xml:space="preserve">        </w:t>
      </w:r>
      <w:r>
        <w:rPr>
          <w:rFonts w:hint="eastAsia" w:ascii="仿宋_GB2312" w:hAnsi="仿宋_GB2312" w:eastAsia="仿宋_GB2312" w:cs="仿宋_GB2312"/>
          <w:spacing w:val="0"/>
          <w:sz w:val="28"/>
          <w:szCs w:val="28"/>
          <w:highlight w:val="none"/>
          <w:lang w:val="en-US" w:eastAsia="zh-CN"/>
        </w:rPr>
        <w:t xml:space="preserve">   </w:t>
      </w:r>
      <w:r>
        <w:rPr>
          <w:rFonts w:hint="eastAsia" w:ascii="仿宋_GB2312" w:hAnsi="仿宋_GB2312" w:eastAsia="仿宋_GB2312" w:cs="仿宋_GB2312"/>
          <w:spacing w:val="0"/>
          <w:sz w:val="28"/>
          <w:szCs w:val="28"/>
          <w:highlight w:val="none"/>
        </w:rPr>
        <w:t xml:space="preserve">      </w:t>
      </w:r>
      <w:r>
        <w:rPr>
          <w:rFonts w:hint="default" w:ascii="Times New Roman" w:hAnsi="Times New Roman" w:eastAsia="仿宋_GB2312" w:cs="Times New Roman"/>
          <w:spacing w:val="0"/>
          <w:sz w:val="28"/>
          <w:szCs w:val="28"/>
          <w:highlight w:val="none"/>
        </w:rPr>
        <w:t>202</w:t>
      </w:r>
      <w:r>
        <w:rPr>
          <w:rFonts w:hint="default" w:ascii="Times New Roman" w:hAnsi="Times New Roman" w:eastAsia="仿宋_GB2312" w:cs="Times New Roman"/>
          <w:spacing w:val="0"/>
          <w:sz w:val="28"/>
          <w:szCs w:val="28"/>
          <w:highlight w:val="none"/>
          <w:lang w:val="en-US" w:eastAsia="zh-CN"/>
        </w:rPr>
        <w:t>3</w:t>
      </w:r>
      <w:r>
        <w:rPr>
          <w:rFonts w:hint="eastAsia" w:ascii="仿宋_GB2312" w:hAnsi="仿宋_GB2312" w:eastAsia="仿宋_GB2312" w:cs="仿宋_GB2312"/>
          <w:spacing w:val="0"/>
          <w:sz w:val="28"/>
          <w:szCs w:val="28"/>
          <w:highlight w:val="none"/>
        </w:rPr>
        <w:t>年</w:t>
      </w:r>
      <w:r>
        <w:rPr>
          <w:rFonts w:hint="default" w:ascii="Times New Roman" w:hAnsi="Times New Roman" w:eastAsia="仿宋_GB2312" w:cs="Times New Roman"/>
          <w:spacing w:val="0"/>
          <w:sz w:val="28"/>
          <w:szCs w:val="28"/>
          <w:highlight w:val="none"/>
          <w:lang w:val="en-US" w:eastAsia="zh-CN"/>
        </w:rPr>
        <w:t>2</w:t>
      </w:r>
      <w:r>
        <w:rPr>
          <w:rFonts w:hint="eastAsia" w:ascii="仿宋_GB2312" w:hAnsi="仿宋_GB2312" w:eastAsia="仿宋_GB2312" w:cs="仿宋_GB2312"/>
          <w:spacing w:val="0"/>
          <w:sz w:val="28"/>
          <w:szCs w:val="28"/>
          <w:highlight w:val="none"/>
        </w:rPr>
        <w:t>月</w:t>
      </w:r>
      <w:r>
        <w:rPr>
          <w:rFonts w:hint="default" w:ascii="Times New Roman" w:hAnsi="Times New Roman" w:eastAsia="仿宋_GB2312" w:cs="Times New Roman"/>
          <w:spacing w:val="0"/>
          <w:sz w:val="28"/>
          <w:szCs w:val="28"/>
          <w:highlight w:val="none"/>
          <w:lang w:val="en-US" w:eastAsia="zh-CN"/>
        </w:rPr>
        <w:t>20</w:t>
      </w:r>
      <w:r>
        <w:rPr>
          <w:rFonts w:hint="eastAsia" w:ascii="仿宋_GB2312" w:hAnsi="仿宋_GB2312" w:eastAsia="仿宋_GB2312" w:cs="仿宋_GB2312"/>
          <w:spacing w:val="0"/>
          <w:sz w:val="28"/>
          <w:szCs w:val="28"/>
          <w:highlight w:val="none"/>
        </w:rPr>
        <w:t>日印发</w:t>
      </w:r>
    </w:p>
    <w:p>
      <w:pPr>
        <w:pStyle w:val="4"/>
        <w:keepNext w:val="0"/>
        <w:keepLines w:val="0"/>
        <w:pageBreakBefore w:val="0"/>
        <w:widowControl w:val="0"/>
        <w:kinsoku/>
        <w:wordWrap/>
        <w:overflowPunct/>
        <w:topLinePunct w:val="0"/>
        <w:autoSpaceDE/>
        <w:autoSpaceDN/>
        <w:bidi w:val="0"/>
        <w:adjustRightInd/>
        <w:snapToGrid/>
        <w:spacing w:line="120" w:lineRule="exact"/>
        <w:ind w:firstLine="0" w:firstLineChars="0"/>
        <w:textAlignment w:val="auto"/>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29845</wp:posOffset>
                </wp:positionV>
                <wp:extent cx="5615940" cy="0"/>
                <wp:effectExtent l="0" t="9525" r="3810" b="9525"/>
                <wp:wrapNone/>
                <wp:docPr id="19" name="直接连接符 19"/>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35pt;height:0pt;width:442.2pt;z-index:251666432;mso-width-relative:page;mso-height-relative:page;" filled="f" stroked="t" coordsize="21600,21600" o:gfxdata="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yiVnSAAAABAEAAA8AAAAAAAAAAQAgAAAAIgAAAGRycy9kb3ducmV2LnhtbFBLAQIU&#10;ABQAAAAIAIdO4kBQOFhi+QEAAPUDAAAOAAAAAAAAAAEAIAAAACEBAABkcnMvZTJvRG9jLnhtbFBL&#10;BQYAAAAABgAGAFkBAACMBQAAAAA=&#10;">
                <v:fill on="f" focussize="0,0"/>
                <v:stroke weight="1.5pt" color="#000000" joinstyle="round"/>
                <v:imagedata o:title=""/>
                <o:lock v:ext="edit" aspectratio="f"/>
              </v:line>
            </w:pict>
          </mc:Fallback>
        </mc:AlternateContent>
      </w:r>
    </w:p>
    <w:sectPr>
      <w:headerReference r:id="rId9" w:type="default"/>
      <w:footerReference r:id="rId11" w:type="default"/>
      <w:headerReference r:id="rId10" w:type="even"/>
      <w:footerReference r:id="rId12"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column">
                <wp:posOffset>-720090</wp:posOffset>
              </wp:positionH>
              <wp:positionV relativeFrom="paragraph">
                <wp:posOffset>-864235</wp:posOffset>
              </wp:positionV>
              <wp:extent cx="288290" cy="720090"/>
              <wp:effectExtent l="4445" t="4445" r="12065" b="18415"/>
              <wp:wrapNone/>
              <wp:docPr id="7" name="文本框 7"/>
              <wp:cNvGraphicFramePr/>
              <a:graphic xmlns:a="http://schemas.openxmlformats.org/drawingml/2006/main">
                <a:graphicData uri="http://schemas.microsoft.com/office/word/2010/wordprocessingShape">
                  <wps:wsp>
                    <wps:cNvSpPr txBox="1"/>
                    <wps:spPr>
                      <a:xfrm>
                        <a:off x="845820" y="333375"/>
                        <a:ext cx="288290" cy="720090"/>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wps:txbx>
                    <wps:bodyPr rot="0" spcFirstLastPara="0" vertOverflow="overflow" horzOverflow="overflow" vert="eaVert"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6.7pt;margin-top:-68.05pt;height:56.7pt;width:22.7pt;z-index:251662336;mso-width-relative:page;mso-height-relative:page;" fillcolor="#FFFFFF [3201]" filled="t" stroked="t" coordsize="21600,21600" o:gfxdata="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WDsQdkAAAANAQAADwAAAAAAAAABACAAAAAiAAAAZHJzL2Rvd25yZXYueG1sUEsBAhQA&#10;FAAAAAgAh07iQNk6H05jAgAA0AQAAA4AAAAAAAAAAQAgAAAAKAEAAGRycy9lMm9Eb2MueG1sUEsF&#10;BgAAAAAGAAYAWQEAAP0FAAAAAA==&#10;">
              <v:fill on="t" focussize="0,0"/>
              <v:stroke weight="0.5pt" color="#000000 [3204]" opacity="0f" joinstyle="round"/>
              <v:imagedata o:title=""/>
              <o:lock v:ext="edit" aspectratio="f"/>
              <v:textbox inset="0mm,0mm,0mm,0mm" style="layout-flow:vertical-ideographic;">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453390</wp:posOffset>
              </wp:positionV>
              <wp:extent cx="288290" cy="720090"/>
              <wp:effectExtent l="0" t="0" r="16510" b="3810"/>
              <wp:wrapNone/>
              <wp:docPr id="4" name="文本框 9"/>
              <wp:cNvGraphicFramePr/>
              <a:graphic xmlns:a="http://schemas.openxmlformats.org/drawingml/2006/main">
                <a:graphicData uri="http://schemas.microsoft.com/office/word/2010/wordprocessingShape">
                  <wps:wsp>
                    <wps:cNvSpPr txBox="1"/>
                    <wps:spPr>
                      <a:xfrm>
                        <a:off x="0" y="0"/>
                        <a:ext cx="288290" cy="720090"/>
                      </a:xfrm>
                      <a:prstGeom prst="rect">
                        <a:avLst/>
                      </a:prstGeom>
                      <a:solidFill>
                        <a:srgbClr val="FFFFFF"/>
                      </a:solid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wps:txbx>
                    <wps:bodyPr vert="eaVert" lIns="0" tIns="0" rIns="0" bIns="0" upright="1"/>
                  </wps:wsp>
                </a:graphicData>
              </a:graphic>
            </wp:anchor>
          </w:drawing>
        </mc:Choice>
        <mc:Fallback>
          <w:pict>
            <v:shape id="文本框 9" o:spid="_x0000_s1026" o:spt="202" type="#_x0000_t202" style="position:absolute;left:0pt;margin-left:-56.7pt;margin-top:35.7pt;height:56.7pt;width:22.7pt;z-index:251661312;mso-width-relative:page;mso-height-relative:page;" fillcolor="#FFFFFF" filled="t" stroked="f" coordsize="21600,21600" o:gfxdata="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dHvT2gAAAAsBAAAPAAAAAAAAAAEA&#10;IAAAACIAAABkcnMvZG93bnJldi54bWxQSwECFAAUAAAACACHTuJACTs7UdQBAACoAwAADgAAAAAA&#10;AAABACAAAAApAQAAZHJzL2Uyb0RvYy54bWxQSwUGAAAAAAYABgBZAQAAbwUAAAAA&#10;">
              <v:fill on="t" focussize="0,0"/>
              <v:stroke on="f"/>
              <v:imagedata o:title=""/>
              <o:lock v:ext="edit" aspectratio="f"/>
              <v:textbox inset="0mm,0mm,0mm,0mm" style="layout-flow:vertical-ideographic;">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NzliMWE0NzQ4MmIxYWE5ZDIwMzYzNzUzYTBjNjkifQ=="/>
  </w:docVars>
  <w:rsids>
    <w:rsidRoot w:val="16AF77F9"/>
    <w:rsid w:val="07837B89"/>
    <w:rsid w:val="08FF094D"/>
    <w:rsid w:val="16AF77F9"/>
    <w:rsid w:val="1BCF57F1"/>
    <w:rsid w:val="201C1FED"/>
    <w:rsid w:val="21F002C4"/>
    <w:rsid w:val="27DD60AE"/>
    <w:rsid w:val="2AF77D36"/>
    <w:rsid w:val="2CC00E88"/>
    <w:rsid w:val="309112ED"/>
    <w:rsid w:val="3CCF1338"/>
    <w:rsid w:val="41614914"/>
    <w:rsid w:val="48B4027D"/>
    <w:rsid w:val="4A4A6F6E"/>
    <w:rsid w:val="4CF845C6"/>
    <w:rsid w:val="4FB40D20"/>
    <w:rsid w:val="57EB7FAE"/>
    <w:rsid w:val="58F80AD1"/>
    <w:rsid w:val="5E276CA7"/>
    <w:rsid w:val="5E8408F8"/>
    <w:rsid w:val="7721471C"/>
    <w:rsid w:val="77A52B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spacing w:after="0"/>
      <w:ind w:left="120" w:firstLine="420" w:firstLineChars="100"/>
    </w:pPr>
    <w:rPr>
      <w:rFonts w:ascii="宋体" w:hAnsi="宋体" w:cs="宋体"/>
      <w:sz w:val="30"/>
      <w:szCs w:val="30"/>
      <w:lang w:val="zh-CN" w:bidi="zh-CN"/>
    </w:rPr>
  </w:style>
  <w:style w:type="paragraph" w:styleId="3">
    <w:name w:val="Body Text"/>
    <w:basedOn w:val="1"/>
    <w:autoRedefine/>
    <w:qFormat/>
    <w:uiPriority w:val="99"/>
    <w:rPr>
      <w:sz w:val="32"/>
      <w:szCs w:val="32"/>
    </w:rPr>
  </w:style>
  <w:style w:type="paragraph" w:styleId="4">
    <w:name w:val="Normal Indent"/>
    <w:basedOn w:val="1"/>
    <w:unhideWhenUsed/>
    <w:qFormat/>
    <w:uiPriority w:val="99"/>
    <w:pPr>
      <w:ind w:firstLine="420" w:firstLineChars="200"/>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snapToGrid w:val="0"/>
    </w:pPr>
    <w:rPr>
      <w:rFonts w:ascii="Arial" w:hAnsi="Arial" w:cs="仿宋_GB2312"/>
      <w:szCs w:val="32"/>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semiHidden/>
    <w:qFormat/>
    <w:uiPriority w:val="99"/>
  </w:style>
  <w:style w:type="paragraph" w:styleId="10">
    <w:name w:val="Body Text 2"/>
    <w:basedOn w:val="1"/>
    <w:qFormat/>
    <w:uiPriority w:val="0"/>
    <w:pPr>
      <w:widowControl/>
      <w:spacing w:line="440" w:lineRule="atLeast"/>
      <w:ind w:firstLine="0"/>
    </w:pPr>
    <w:rPr>
      <w:rFonts w:ascii="宋体"/>
      <w:kern w:val="0"/>
      <w:szCs w:val="20"/>
      <w:lang w:val="en-US"/>
    </w:rPr>
  </w:style>
  <w:style w:type="paragraph" w:styleId="11">
    <w:name w:val="Body Text First Indent 2"/>
    <w:basedOn w:val="5"/>
    <w:qFormat/>
    <w:uiPriority w:val="0"/>
    <w:pPr>
      <w:spacing w:before="100" w:beforeAutospacing="1"/>
      <w:ind w:left="0" w:firstLine="420" w:firstLineChars="200"/>
    </w:pPr>
  </w:style>
  <w:style w:type="paragraph" w:customStyle="1" w:styleId="14">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5991;&#26723;&#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文档格式.dot</Template>
  <Pages>6</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2023-03-03T01:03:00Z</dcterms:created>
  <dc:creator>小莹子胖胖哒</dc:creator>
  <cp:lastModifiedBy>Dreaming朱慧敏</cp:lastModifiedBy>
  <cp:lastPrinted>2024-03-11T01:36:12Z</cp:lastPrinted>
  <dcterms:modified xsi:type="dcterms:W3CDTF">2024-03-11T01:38:31Z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D951984394B14B16A2F985AD38D4EC7A_13</vt:lpwstr>
  </property>
</Properties>
</file>