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91202">
      <w:pPr>
        <w:autoSpaceDE w:val="0"/>
        <w:autoSpaceDN w:val="0"/>
        <w:adjustRightInd w:val="0"/>
        <w:spacing w:line="560" w:lineRule="exact"/>
        <w:jc w:val="center"/>
        <w:rPr>
          <w:rFonts w:ascii="黑体" w:hAnsi="黑体" w:eastAsia="黑体" w:cs="楷体"/>
          <w:b/>
          <w:bCs/>
          <w:kern w:val="0"/>
          <w:sz w:val="52"/>
          <w:szCs w:val="52"/>
        </w:rPr>
      </w:pPr>
    </w:p>
    <w:p w14:paraId="7562CAB6">
      <w:pPr>
        <w:autoSpaceDE w:val="0"/>
        <w:autoSpaceDN w:val="0"/>
        <w:adjustRightInd w:val="0"/>
        <w:spacing w:line="560" w:lineRule="exact"/>
        <w:jc w:val="center"/>
        <w:rPr>
          <w:rFonts w:ascii="黑体" w:hAnsi="黑体" w:eastAsia="黑体" w:cs="楷体"/>
          <w:b/>
          <w:bCs/>
          <w:kern w:val="0"/>
          <w:sz w:val="52"/>
          <w:szCs w:val="52"/>
        </w:rPr>
      </w:pPr>
    </w:p>
    <w:p w14:paraId="0579B686">
      <w:pPr>
        <w:autoSpaceDE w:val="0"/>
        <w:autoSpaceDN w:val="0"/>
        <w:adjustRightInd w:val="0"/>
        <w:spacing w:line="720" w:lineRule="exact"/>
        <w:jc w:val="center"/>
        <w:rPr>
          <w:rFonts w:ascii="黑体" w:hAnsi="黑体" w:eastAsia="黑体" w:cs="楷体"/>
          <w:bCs/>
          <w:kern w:val="0"/>
          <w:sz w:val="52"/>
          <w:szCs w:val="52"/>
        </w:rPr>
      </w:pPr>
      <w:r>
        <w:rPr>
          <w:rFonts w:hint="eastAsia" w:ascii="黑体" w:hAnsi="黑体" w:eastAsia="黑体" w:cs="楷体"/>
          <w:bCs/>
          <w:kern w:val="0"/>
          <w:sz w:val="52"/>
          <w:szCs w:val="52"/>
        </w:rPr>
        <w:t>禹会区国民经济和社会发展</w:t>
      </w:r>
    </w:p>
    <w:p w14:paraId="645DCEE3">
      <w:pPr>
        <w:autoSpaceDE w:val="0"/>
        <w:autoSpaceDN w:val="0"/>
        <w:adjustRightInd w:val="0"/>
        <w:spacing w:line="720" w:lineRule="exact"/>
        <w:jc w:val="center"/>
        <w:rPr>
          <w:rFonts w:ascii="黑体" w:hAnsi="黑体" w:eastAsia="黑体" w:cs="楷体"/>
          <w:bCs/>
          <w:kern w:val="0"/>
          <w:sz w:val="52"/>
          <w:szCs w:val="52"/>
        </w:rPr>
      </w:pPr>
      <w:r>
        <w:rPr>
          <w:rFonts w:hint="eastAsia" w:ascii="黑体" w:hAnsi="黑体" w:eastAsia="黑体" w:cs="楷体"/>
          <w:bCs/>
          <w:kern w:val="0"/>
          <w:sz w:val="52"/>
          <w:szCs w:val="52"/>
        </w:rPr>
        <w:t>第十四个五年规划和二〇三五年</w:t>
      </w:r>
    </w:p>
    <w:p w14:paraId="431092B5">
      <w:pPr>
        <w:autoSpaceDE w:val="0"/>
        <w:autoSpaceDN w:val="0"/>
        <w:adjustRightInd w:val="0"/>
        <w:spacing w:line="720" w:lineRule="exact"/>
        <w:jc w:val="center"/>
        <w:rPr>
          <w:rFonts w:ascii="仿宋" w:hAnsi="仿宋" w:eastAsia="仿宋" w:cs="楷体"/>
          <w:b/>
          <w:bCs/>
          <w:kern w:val="0"/>
          <w:sz w:val="32"/>
          <w:szCs w:val="32"/>
        </w:rPr>
      </w:pPr>
      <w:r>
        <w:rPr>
          <w:rFonts w:hint="eastAsia" w:ascii="黑体" w:hAnsi="黑体" w:eastAsia="黑体" w:cs="楷体"/>
          <w:bCs/>
          <w:kern w:val="0"/>
          <w:sz w:val="52"/>
          <w:szCs w:val="52"/>
        </w:rPr>
        <w:t>远景目标纲要</w:t>
      </w:r>
    </w:p>
    <w:p w14:paraId="062F42C3">
      <w:pPr>
        <w:autoSpaceDE w:val="0"/>
        <w:autoSpaceDN w:val="0"/>
        <w:adjustRightInd w:val="0"/>
        <w:spacing w:line="560" w:lineRule="exact"/>
        <w:jc w:val="center"/>
        <w:rPr>
          <w:rFonts w:ascii="仿宋" w:hAnsi="仿宋" w:eastAsia="仿宋" w:cs="楷体"/>
          <w:b/>
          <w:bCs/>
          <w:kern w:val="0"/>
          <w:sz w:val="32"/>
          <w:szCs w:val="32"/>
        </w:rPr>
      </w:pPr>
    </w:p>
    <w:p w14:paraId="0EB04F5E">
      <w:pPr>
        <w:autoSpaceDE w:val="0"/>
        <w:autoSpaceDN w:val="0"/>
        <w:adjustRightInd w:val="0"/>
        <w:spacing w:line="560" w:lineRule="exact"/>
        <w:jc w:val="center"/>
        <w:rPr>
          <w:rFonts w:ascii="仿宋" w:hAnsi="仿宋" w:eastAsia="仿宋" w:cs="楷体"/>
          <w:b/>
          <w:bCs/>
          <w:kern w:val="0"/>
          <w:sz w:val="32"/>
          <w:szCs w:val="32"/>
        </w:rPr>
      </w:pPr>
    </w:p>
    <w:p w14:paraId="6B84418E">
      <w:pPr>
        <w:autoSpaceDE w:val="0"/>
        <w:autoSpaceDN w:val="0"/>
        <w:adjustRightInd w:val="0"/>
        <w:spacing w:line="560" w:lineRule="exact"/>
        <w:jc w:val="center"/>
        <w:rPr>
          <w:rFonts w:ascii="仿宋" w:hAnsi="仿宋" w:eastAsia="仿宋" w:cs="楷体"/>
          <w:b/>
          <w:bCs/>
          <w:kern w:val="0"/>
          <w:sz w:val="32"/>
          <w:szCs w:val="32"/>
        </w:rPr>
      </w:pPr>
    </w:p>
    <w:p w14:paraId="626FD4B3">
      <w:pPr>
        <w:autoSpaceDE w:val="0"/>
        <w:autoSpaceDN w:val="0"/>
        <w:adjustRightInd w:val="0"/>
        <w:spacing w:line="560" w:lineRule="exact"/>
        <w:jc w:val="center"/>
        <w:rPr>
          <w:rFonts w:ascii="仿宋" w:hAnsi="仿宋" w:eastAsia="仿宋" w:cs="楷体"/>
          <w:b/>
          <w:bCs/>
          <w:kern w:val="0"/>
          <w:sz w:val="32"/>
          <w:szCs w:val="32"/>
        </w:rPr>
      </w:pPr>
    </w:p>
    <w:p w14:paraId="67C8F9F4">
      <w:pPr>
        <w:autoSpaceDE w:val="0"/>
        <w:autoSpaceDN w:val="0"/>
        <w:adjustRightInd w:val="0"/>
        <w:spacing w:line="560" w:lineRule="exact"/>
        <w:jc w:val="center"/>
        <w:rPr>
          <w:rFonts w:ascii="仿宋" w:hAnsi="仿宋" w:eastAsia="仿宋" w:cs="楷体"/>
          <w:b/>
          <w:bCs/>
          <w:kern w:val="0"/>
          <w:sz w:val="32"/>
          <w:szCs w:val="32"/>
        </w:rPr>
      </w:pPr>
    </w:p>
    <w:p w14:paraId="643850E2">
      <w:pPr>
        <w:autoSpaceDE w:val="0"/>
        <w:autoSpaceDN w:val="0"/>
        <w:adjustRightInd w:val="0"/>
        <w:spacing w:line="560" w:lineRule="exact"/>
        <w:jc w:val="center"/>
        <w:rPr>
          <w:rFonts w:ascii="仿宋" w:hAnsi="仿宋" w:eastAsia="仿宋" w:cs="楷体"/>
          <w:b/>
          <w:bCs/>
          <w:kern w:val="0"/>
          <w:sz w:val="32"/>
          <w:szCs w:val="32"/>
        </w:rPr>
      </w:pPr>
    </w:p>
    <w:p w14:paraId="0E3A4DF4">
      <w:pPr>
        <w:autoSpaceDE w:val="0"/>
        <w:autoSpaceDN w:val="0"/>
        <w:adjustRightInd w:val="0"/>
        <w:spacing w:line="560" w:lineRule="exact"/>
        <w:jc w:val="center"/>
        <w:rPr>
          <w:rFonts w:ascii="仿宋" w:hAnsi="仿宋" w:eastAsia="仿宋" w:cs="楷体"/>
          <w:b/>
          <w:bCs/>
          <w:kern w:val="0"/>
          <w:sz w:val="32"/>
          <w:szCs w:val="32"/>
        </w:rPr>
      </w:pPr>
    </w:p>
    <w:p w14:paraId="6BB784C5">
      <w:pPr>
        <w:autoSpaceDE w:val="0"/>
        <w:autoSpaceDN w:val="0"/>
        <w:adjustRightInd w:val="0"/>
        <w:spacing w:line="560" w:lineRule="exact"/>
        <w:jc w:val="center"/>
        <w:rPr>
          <w:rFonts w:ascii="仿宋" w:hAnsi="仿宋" w:eastAsia="仿宋" w:cs="楷体"/>
          <w:b/>
          <w:bCs/>
          <w:kern w:val="0"/>
          <w:sz w:val="32"/>
          <w:szCs w:val="32"/>
        </w:rPr>
      </w:pPr>
    </w:p>
    <w:p w14:paraId="631D80E2">
      <w:pPr>
        <w:autoSpaceDE w:val="0"/>
        <w:autoSpaceDN w:val="0"/>
        <w:adjustRightInd w:val="0"/>
        <w:spacing w:line="560" w:lineRule="exact"/>
        <w:jc w:val="center"/>
        <w:rPr>
          <w:rFonts w:ascii="仿宋" w:hAnsi="仿宋" w:eastAsia="仿宋" w:cs="楷体"/>
          <w:b/>
          <w:bCs/>
          <w:kern w:val="0"/>
          <w:sz w:val="32"/>
          <w:szCs w:val="32"/>
        </w:rPr>
      </w:pPr>
    </w:p>
    <w:p w14:paraId="008A386B">
      <w:pPr>
        <w:autoSpaceDE w:val="0"/>
        <w:autoSpaceDN w:val="0"/>
        <w:adjustRightInd w:val="0"/>
        <w:spacing w:line="560" w:lineRule="exact"/>
        <w:jc w:val="center"/>
        <w:rPr>
          <w:rFonts w:ascii="仿宋" w:hAnsi="仿宋" w:eastAsia="仿宋" w:cs="楷体"/>
          <w:b/>
          <w:bCs/>
          <w:kern w:val="0"/>
          <w:sz w:val="32"/>
          <w:szCs w:val="32"/>
        </w:rPr>
      </w:pPr>
    </w:p>
    <w:p w14:paraId="34C5F916">
      <w:pPr>
        <w:autoSpaceDE w:val="0"/>
        <w:autoSpaceDN w:val="0"/>
        <w:adjustRightInd w:val="0"/>
        <w:spacing w:line="560" w:lineRule="exact"/>
        <w:jc w:val="center"/>
        <w:rPr>
          <w:rFonts w:ascii="仿宋" w:hAnsi="仿宋" w:eastAsia="仿宋" w:cs="楷体"/>
          <w:b/>
          <w:bCs/>
          <w:kern w:val="0"/>
          <w:sz w:val="32"/>
          <w:szCs w:val="32"/>
        </w:rPr>
      </w:pPr>
    </w:p>
    <w:p w14:paraId="66F75828">
      <w:pPr>
        <w:autoSpaceDE w:val="0"/>
        <w:autoSpaceDN w:val="0"/>
        <w:adjustRightInd w:val="0"/>
        <w:spacing w:line="560" w:lineRule="exact"/>
        <w:jc w:val="center"/>
        <w:rPr>
          <w:rFonts w:ascii="仿宋" w:hAnsi="仿宋" w:eastAsia="仿宋" w:cs="楷体"/>
          <w:b/>
          <w:bCs/>
          <w:kern w:val="0"/>
          <w:sz w:val="32"/>
          <w:szCs w:val="32"/>
        </w:rPr>
      </w:pPr>
    </w:p>
    <w:p w14:paraId="58DB7ADE">
      <w:pPr>
        <w:autoSpaceDE w:val="0"/>
        <w:autoSpaceDN w:val="0"/>
        <w:adjustRightInd w:val="0"/>
        <w:spacing w:line="560" w:lineRule="exact"/>
        <w:jc w:val="center"/>
        <w:rPr>
          <w:rFonts w:ascii="仿宋" w:hAnsi="仿宋" w:eastAsia="仿宋" w:cs="楷体"/>
          <w:bCs/>
          <w:kern w:val="0"/>
          <w:sz w:val="32"/>
          <w:szCs w:val="32"/>
        </w:rPr>
      </w:pPr>
    </w:p>
    <w:p w14:paraId="3465531F">
      <w:pPr>
        <w:autoSpaceDE w:val="0"/>
        <w:autoSpaceDN w:val="0"/>
        <w:adjustRightInd w:val="0"/>
        <w:spacing w:line="560" w:lineRule="exact"/>
        <w:jc w:val="center"/>
        <w:rPr>
          <w:rFonts w:ascii="黑体" w:hAnsi="黑体" w:eastAsia="黑体" w:cs="楷体"/>
          <w:bCs/>
          <w:kern w:val="0"/>
          <w:sz w:val="52"/>
          <w:szCs w:val="52"/>
        </w:rPr>
      </w:pPr>
      <w:r>
        <w:rPr>
          <w:rFonts w:hint="eastAsia" w:ascii="黑体" w:hAnsi="黑体" w:eastAsia="黑体" w:cs="楷体"/>
          <w:bCs/>
          <w:kern w:val="0"/>
          <w:sz w:val="52"/>
          <w:szCs w:val="52"/>
        </w:rPr>
        <w:t>禹会区发展和改革委员会</w:t>
      </w:r>
    </w:p>
    <w:p w14:paraId="66C55C85">
      <w:pPr>
        <w:autoSpaceDE w:val="0"/>
        <w:autoSpaceDN w:val="0"/>
        <w:adjustRightInd w:val="0"/>
        <w:spacing w:line="560" w:lineRule="exact"/>
        <w:jc w:val="center"/>
        <w:rPr>
          <w:rFonts w:ascii="黑体" w:hAnsi="黑体" w:eastAsia="黑体" w:cs="楷体"/>
          <w:bCs/>
          <w:kern w:val="0"/>
          <w:sz w:val="44"/>
          <w:szCs w:val="44"/>
        </w:rPr>
      </w:pPr>
    </w:p>
    <w:p w14:paraId="40ED409D">
      <w:pPr>
        <w:autoSpaceDE w:val="0"/>
        <w:autoSpaceDN w:val="0"/>
        <w:adjustRightInd w:val="0"/>
        <w:spacing w:line="560" w:lineRule="exact"/>
        <w:jc w:val="center"/>
        <w:rPr>
          <w:rFonts w:ascii="黑体" w:hAnsi="黑体" w:eastAsia="黑体" w:cs="楷体"/>
          <w:bCs/>
          <w:kern w:val="0"/>
          <w:sz w:val="44"/>
          <w:szCs w:val="44"/>
        </w:rPr>
      </w:pPr>
      <w:r>
        <w:rPr>
          <w:rFonts w:hint="eastAsia" w:ascii="黑体" w:hAnsi="黑体" w:eastAsia="黑体" w:cs="楷体"/>
          <w:bCs/>
          <w:kern w:val="0"/>
          <w:sz w:val="44"/>
          <w:szCs w:val="44"/>
        </w:rPr>
        <w:t>2021年1月</w:t>
      </w:r>
    </w:p>
    <w:p w14:paraId="519D719E"/>
    <w:p w14:paraId="13016BD4">
      <w:pPr>
        <w:rPr>
          <w:rFonts w:ascii="宋体" w:hAnsi="宋体" w:eastAsia="宋体"/>
        </w:rPr>
        <w:sectPr>
          <w:pgSz w:w="11906" w:h="16838"/>
          <w:pgMar w:top="1440" w:right="1800" w:bottom="1440" w:left="1800" w:header="851" w:footer="992" w:gutter="0"/>
          <w:pgNumType w:start="1"/>
          <w:cols w:space="425" w:num="1"/>
          <w:docGrid w:type="lines" w:linePitch="312" w:charSpace="0"/>
        </w:sectPr>
      </w:pPr>
    </w:p>
    <w:sdt>
      <w:sdtPr>
        <w:rPr>
          <w:rFonts w:ascii="宋体" w:hAnsi="宋体" w:eastAsia="宋体"/>
        </w:rPr>
        <w:id w:val="147483322"/>
        <w:docPartObj>
          <w:docPartGallery w:val="Table of Contents"/>
          <w:docPartUnique/>
        </w:docPartObj>
      </w:sdtPr>
      <w:sdtEndPr>
        <w:rPr>
          <w:rFonts w:ascii="黑体" w:hAnsi="黑体" w:eastAsia="黑体" w:cs="Times New Roman"/>
          <w:b/>
          <w:bCs/>
          <w:szCs w:val="32"/>
        </w:rPr>
      </w:sdtEndPr>
      <w:sdtContent>
        <w:p w14:paraId="2BEF6CC2">
          <w:pPr>
            <w:jc w:val="center"/>
            <w:rPr>
              <w:rFonts w:ascii="黑体" w:hAnsi="黑体" w:eastAsia="黑体"/>
              <w:bCs/>
            </w:rPr>
          </w:pPr>
          <w:r>
            <w:rPr>
              <w:rFonts w:ascii="黑体" w:hAnsi="黑体" w:eastAsia="黑体"/>
              <w:bCs/>
              <w:sz w:val="36"/>
            </w:rPr>
            <w:t>目</w:t>
          </w:r>
          <w:r>
            <w:rPr>
              <w:rFonts w:hint="eastAsia" w:ascii="黑体" w:hAnsi="黑体" w:eastAsia="黑体"/>
              <w:bCs/>
              <w:sz w:val="36"/>
            </w:rPr>
            <w:t xml:space="preserve">   </w:t>
          </w:r>
          <w:r>
            <w:rPr>
              <w:rFonts w:ascii="黑体" w:hAnsi="黑体" w:eastAsia="黑体"/>
              <w:bCs/>
              <w:sz w:val="36"/>
            </w:rPr>
            <w:t>录</w:t>
          </w:r>
        </w:p>
        <w:p w14:paraId="4AFAD94B">
          <w:pPr>
            <w:pStyle w:val="10"/>
            <w:rPr>
              <w:rFonts w:asciiTheme="minorHAnsi" w:hAnsiTheme="minorHAnsi" w:eastAsiaTheme="minorEastAsia" w:cstheme="minorBidi"/>
              <w:b w:val="0"/>
              <w:bCs w:val="0"/>
              <w:sz w:val="21"/>
              <w:szCs w:val="22"/>
            </w:rPr>
          </w:pPr>
          <w:r>
            <w:rPr>
              <w:b w:val="0"/>
              <w:bCs w:val="0"/>
              <w:kern w:val="0"/>
              <w:sz w:val="32"/>
              <w:szCs w:val="32"/>
            </w:rPr>
            <w:fldChar w:fldCharType="begin"/>
          </w:r>
          <w:r>
            <w:rPr>
              <w:b w:val="0"/>
              <w:sz w:val="32"/>
              <w:szCs w:val="32"/>
            </w:rPr>
            <w:instrText xml:space="preserve">TOC \o "1-2" \h \u </w:instrText>
          </w:r>
          <w:r>
            <w:rPr>
              <w:b w:val="0"/>
              <w:bCs w:val="0"/>
              <w:kern w:val="0"/>
              <w:sz w:val="32"/>
              <w:szCs w:val="32"/>
            </w:rPr>
            <w:fldChar w:fldCharType="separate"/>
          </w:r>
          <w:r>
            <w:fldChar w:fldCharType="begin"/>
          </w:r>
          <w:r>
            <w:instrText xml:space="preserve"> HYPERLINK \l "_Toc60900778" </w:instrText>
          </w:r>
          <w:r>
            <w:fldChar w:fldCharType="separate"/>
          </w:r>
          <w:r>
            <w:rPr>
              <w:rStyle w:val="18"/>
              <w:rFonts w:hint="eastAsia"/>
              <w:b w:val="0"/>
            </w:rPr>
            <w:t>第一章</w:t>
          </w:r>
          <w:r>
            <w:rPr>
              <w:rStyle w:val="18"/>
              <w:b w:val="0"/>
            </w:rPr>
            <w:t xml:space="preserve">  </w:t>
          </w:r>
          <w:r>
            <w:rPr>
              <w:rStyle w:val="18"/>
              <w:rFonts w:hint="eastAsia"/>
              <w:b w:val="0"/>
            </w:rPr>
            <w:t>现实基础与发展环境</w:t>
          </w:r>
          <w:r>
            <w:rPr>
              <w:b w:val="0"/>
            </w:rPr>
            <w:tab/>
          </w:r>
          <w:r>
            <w:rPr>
              <w:b w:val="0"/>
            </w:rPr>
            <w:fldChar w:fldCharType="begin"/>
          </w:r>
          <w:r>
            <w:rPr>
              <w:b w:val="0"/>
            </w:rPr>
            <w:instrText xml:space="preserve"> PAGEREF _Toc60900778 \h </w:instrText>
          </w:r>
          <w:r>
            <w:rPr>
              <w:b w:val="0"/>
            </w:rPr>
            <w:fldChar w:fldCharType="separate"/>
          </w:r>
          <w:r>
            <w:rPr>
              <w:b w:val="0"/>
            </w:rPr>
            <w:t>1</w:t>
          </w:r>
          <w:r>
            <w:rPr>
              <w:b w:val="0"/>
            </w:rPr>
            <w:fldChar w:fldCharType="end"/>
          </w:r>
          <w:r>
            <w:rPr>
              <w:b w:val="0"/>
            </w:rPr>
            <w:fldChar w:fldCharType="end"/>
          </w:r>
        </w:p>
        <w:p w14:paraId="2D2DC0E3">
          <w:pPr>
            <w:pStyle w:val="11"/>
            <w:tabs>
              <w:tab w:val="right" w:leader="dot" w:pos="8296"/>
            </w:tabs>
          </w:pPr>
          <w:r>
            <w:fldChar w:fldCharType="begin"/>
          </w:r>
          <w:r>
            <w:instrText xml:space="preserve"> HYPERLINK \l "_Toc60900779" </w:instrText>
          </w:r>
          <w:r>
            <w:fldChar w:fldCharType="separate"/>
          </w:r>
          <w:r>
            <w:rPr>
              <w:rStyle w:val="18"/>
              <w:rFonts w:hint="eastAsia" w:ascii="楷体" w:hAnsi="楷体" w:eastAsia="楷体" w:cs="楷体"/>
            </w:rPr>
            <w:t>第一节</w:t>
          </w:r>
          <w:r>
            <w:rPr>
              <w:rStyle w:val="18"/>
              <w:rFonts w:ascii="楷体" w:hAnsi="楷体" w:eastAsia="楷体" w:cs="楷体"/>
            </w:rPr>
            <w:t xml:space="preserve">  </w:t>
          </w:r>
          <w:r>
            <w:rPr>
              <w:rStyle w:val="18"/>
              <w:rFonts w:hint="eastAsia" w:ascii="楷体" w:hAnsi="楷体" w:eastAsia="楷体" w:cs="楷体"/>
            </w:rPr>
            <w:t>现实基础</w:t>
          </w:r>
          <w:r>
            <w:tab/>
          </w:r>
          <w:r>
            <w:fldChar w:fldCharType="begin"/>
          </w:r>
          <w:r>
            <w:instrText xml:space="preserve"> PAGEREF _Toc60900779 \h </w:instrText>
          </w:r>
          <w:r>
            <w:fldChar w:fldCharType="separate"/>
          </w:r>
          <w:r>
            <w:t>1</w:t>
          </w:r>
          <w:r>
            <w:fldChar w:fldCharType="end"/>
          </w:r>
          <w:r>
            <w:fldChar w:fldCharType="end"/>
          </w:r>
        </w:p>
        <w:p w14:paraId="6113715F">
          <w:pPr>
            <w:pStyle w:val="11"/>
            <w:tabs>
              <w:tab w:val="right" w:leader="dot" w:pos="8296"/>
            </w:tabs>
          </w:pPr>
          <w:r>
            <w:fldChar w:fldCharType="begin"/>
          </w:r>
          <w:r>
            <w:instrText xml:space="preserve"> HYPERLINK \l "_Toc60900780" </w:instrText>
          </w:r>
          <w:r>
            <w:fldChar w:fldCharType="separate"/>
          </w:r>
          <w:r>
            <w:rPr>
              <w:rStyle w:val="18"/>
              <w:rFonts w:hint="eastAsia" w:ascii="楷体" w:hAnsi="楷体" w:eastAsia="楷体" w:cs="楷体"/>
            </w:rPr>
            <w:t>第二节</w:t>
          </w:r>
          <w:r>
            <w:rPr>
              <w:rStyle w:val="18"/>
              <w:rFonts w:ascii="楷体" w:hAnsi="楷体" w:eastAsia="楷体" w:cs="楷体"/>
            </w:rPr>
            <w:t xml:space="preserve">  </w:t>
          </w:r>
          <w:r>
            <w:rPr>
              <w:rStyle w:val="18"/>
              <w:rFonts w:hint="eastAsia" w:ascii="楷体" w:hAnsi="楷体" w:eastAsia="楷体" w:cs="楷体"/>
            </w:rPr>
            <w:t>发展环境</w:t>
          </w:r>
          <w:r>
            <w:tab/>
          </w:r>
          <w:r>
            <w:fldChar w:fldCharType="begin"/>
          </w:r>
          <w:r>
            <w:instrText xml:space="preserve"> PAGEREF _Toc60900780 \h </w:instrText>
          </w:r>
          <w:r>
            <w:fldChar w:fldCharType="separate"/>
          </w:r>
          <w:r>
            <w:t>9</w:t>
          </w:r>
          <w:r>
            <w:fldChar w:fldCharType="end"/>
          </w:r>
          <w:r>
            <w:fldChar w:fldCharType="end"/>
          </w:r>
        </w:p>
        <w:p w14:paraId="2679B201">
          <w:pPr>
            <w:pStyle w:val="10"/>
            <w:rPr>
              <w:rFonts w:asciiTheme="minorHAnsi" w:hAnsiTheme="minorHAnsi" w:eastAsiaTheme="minorEastAsia" w:cstheme="minorBidi"/>
              <w:b w:val="0"/>
              <w:bCs w:val="0"/>
              <w:sz w:val="21"/>
              <w:szCs w:val="22"/>
            </w:rPr>
          </w:pPr>
          <w:r>
            <w:fldChar w:fldCharType="begin"/>
          </w:r>
          <w:r>
            <w:instrText xml:space="preserve"> HYPERLINK \l "_Toc60900781" </w:instrText>
          </w:r>
          <w:r>
            <w:fldChar w:fldCharType="separate"/>
          </w:r>
          <w:r>
            <w:rPr>
              <w:rStyle w:val="18"/>
              <w:rFonts w:hint="eastAsia"/>
              <w:b w:val="0"/>
            </w:rPr>
            <w:t>第二章</w:t>
          </w:r>
          <w:r>
            <w:rPr>
              <w:rStyle w:val="18"/>
              <w:b w:val="0"/>
            </w:rPr>
            <w:t xml:space="preserve">  </w:t>
          </w:r>
          <w:r>
            <w:rPr>
              <w:rStyle w:val="18"/>
              <w:rFonts w:hint="eastAsia"/>
              <w:b w:val="0"/>
            </w:rPr>
            <w:t>指导思想、发展原则、总体布局与发展目标</w:t>
          </w:r>
          <w:r>
            <w:rPr>
              <w:b w:val="0"/>
            </w:rPr>
            <w:tab/>
          </w:r>
          <w:r>
            <w:rPr>
              <w:b w:val="0"/>
            </w:rPr>
            <w:fldChar w:fldCharType="begin"/>
          </w:r>
          <w:r>
            <w:rPr>
              <w:b w:val="0"/>
            </w:rPr>
            <w:instrText xml:space="preserve"> PAGEREF _Toc60900781 \h </w:instrText>
          </w:r>
          <w:r>
            <w:rPr>
              <w:b w:val="0"/>
            </w:rPr>
            <w:fldChar w:fldCharType="separate"/>
          </w:r>
          <w:r>
            <w:rPr>
              <w:b w:val="0"/>
            </w:rPr>
            <w:t>12</w:t>
          </w:r>
          <w:r>
            <w:rPr>
              <w:b w:val="0"/>
            </w:rPr>
            <w:fldChar w:fldCharType="end"/>
          </w:r>
          <w:r>
            <w:rPr>
              <w:b w:val="0"/>
            </w:rPr>
            <w:fldChar w:fldCharType="end"/>
          </w:r>
        </w:p>
        <w:p w14:paraId="7399D988">
          <w:pPr>
            <w:pStyle w:val="11"/>
            <w:tabs>
              <w:tab w:val="right" w:leader="dot" w:pos="8296"/>
            </w:tabs>
          </w:pPr>
          <w:r>
            <w:fldChar w:fldCharType="begin"/>
          </w:r>
          <w:r>
            <w:instrText xml:space="preserve"> HYPERLINK \l "_Toc60900782" </w:instrText>
          </w:r>
          <w:r>
            <w:fldChar w:fldCharType="separate"/>
          </w:r>
          <w:r>
            <w:rPr>
              <w:rStyle w:val="18"/>
              <w:rFonts w:hint="eastAsia" w:ascii="楷体" w:hAnsi="楷体" w:eastAsia="楷体" w:cs="楷体"/>
            </w:rPr>
            <w:t>第一节</w:t>
          </w:r>
          <w:r>
            <w:rPr>
              <w:rStyle w:val="18"/>
              <w:rFonts w:ascii="楷体" w:hAnsi="楷体" w:eastAsia="楷体" w:cs="楷体"/>
            </w:rPr>
            <w:t xml:space="preserve">  </w:t>
          </w:r>
          <w:r>
            <w:rPr>
              <w:rStyle w:val="18"/>
              <w:rFonts w:hint="eastAsia" w:ascii="楷体" w:hAnsi="楷体" w:eastAsia="楷体" w:cs="楷体"/>
            </w:rPr>
            <w:t>指导思想</w:t>
          </w:r>
          <w:r>
            <w:tab/>
          </w:r>
          <w:r>
            <w:fldChar w:fldCharType="begin"/>
          </w:r>
          <w:r>
            <w:instrText xml:space="preserve"> PAGEREF _Toc60900782 \h </w:instrText>
          </w:r>
          <w:r>
            <w:fldChar w:fldCharType="separate"/>
          </w:r>
          <w:r>
            <w:t>12</w:t>
          </w:r>
          <w:r>
            <w:fldChar w:fldCharType="end"/>
          </w:r>
          <w:r>
            <w:fldChar w:fldCharType="end"/>
          </w:r>
        </w:p>
        <w:p w14:paraId="549D64DE">
          <w:pPr>
            <w:pStyle w:val="11"/>
            <w:tabs>
              <w:tab w:val="right" w:leader="dot" w:pos="8296"/>
            </w:tabs>
          </w:pPr>
          <w:r>
            <w:fldChar w:fldCharType="begin"/>
          </w:r>
          <w:r>
            <w:instrText xml:space="preserve"> HYPERLINK \l "_Toc60900783" </w:instrText>
          </w:r>
          <w:r>
            <w:fldChar w:fldCharType="separate"/>
          </w:r>
          <w:r>
            <w:rPr>
              <w:rStyle w:val="18"/>
              <w:rFonts w:hint="eastAsia" w:ascii="楷体" w:hAnsi="楷体" w:eastAsia="楷体" w:cs="楷体"/>
            </w:rPr>
            <w:t>第二节</w:t>
          </w:r>
          <w:r>
            <w:rPr>
              <w:rStyle w:val="18"/>
              <w:rFonts w:ascii="楷体" w:hAnsi="楷体" w:eastAsia="楷体" w:cs="楷体"/>
            </w:rPr>
            <w:t xml:space="preserve">  </w:t>
          </w:r>
          <w:r>
            <w:rPr>
              <w:rStyle w:val="18"/>
              <w:rFonts w:hint="eastAsia" w:ascii="楷体" w:hAnsi="楷体" w:eastAsia="楷体" w:cs="楷体"/>
            </w:rPr>
            <w:t>发展原则</w:t>
          </w:r>
          <w:r>
            <w:tab/>
          </w:r>
          <w:r>
            <w:fldChar w:fldCharType="begin"/>
          </w:r>
          <w:r>
            <w:instrText xml:space="preserve"> PAGEREF _Toc60900783 \h </w:instrText>
          </w:r>
          <w:r>
            <w:fldChar w:fldCharType="separate"/>
          </w:r>
          <w:r>
            <w:t>12</w:t>
          </w:r>
          <w:r>
            <w:fldChar w:fldCharType="end"/>
          </w:r>
          <w:r>
            <w:fldChar w:fldCharType="end"/>
          </w:r>
        </w:p>
        <w:p w14:paraId="2791D768">
          <w:pPr>
            <w:pStyle w:val="11"/>
            <w:tabs>
              <w:tab w:val="right" w:leader="dot" w:pos="8296"/>
            </w:tabs>
          </w:pPr>
          <w:r>
            <w:fldChar w:fldCharType="begin"/>
          </w:r>
          <w:r>
            <w:instrText xml:space="preserve"> HYPERLINK \l "_Toc60900784" </w:instrText>
          </w:r>
          <w:r>
            <w:fldChar w:fldCharType="separate"/>
          </w:r>
          <w:r>
            <w:rPr>
              <w:rStyle w:val="18"/>
              <w:rFonts w:hint="eastAsia" w:ascii="楷体" w:hAnsi="楷体" w:eastAsia="楷体" w:cs="楷体"/>
            </w:rPr>
            <w:t>第三节</w:t>
          </w:r>
          <w:r>
            <w:rPr>
              <w:rStyle w:val="18"/>
              <w:rFonts w:ascii="楷体" w:hAnsi="楷体" w:eastAsia="楷体" w:cs="楷体"/>
            </w:rPr>
            <w:t xml:space="preserve">  </w:t>
          </w:r>
          <w:r>
            <w:rPr>
              <w:rStyle w:val="18"/>
              <w:rFonts w:hint="eastAsia" w:ascii="楷体" w:hAnsi="楷体" w:eastAsia="楷体" w:cs="楷体"/>
            </w:rPr>
            <w:t>总体布局</w:t>
          </w:r>
          <w:r>
            <w:tab/>
          </w:r>
          <w:r>
            <w:fldChar w:fldCharType="begin"/>
          </w:r>
          <w:r>
            <w:instrText xml:space="preserve"> PAGEREF _Toc60900784 \h </w:instrText>
          </w:r>
          <w:r>
            <w:fldChar w:fldCharType="separate"/>
          </w:r>
          <w:r>
            <w:t>14</w:t>
          </w:r>
          <w:r>
            <w:fldChar w:fldCharType="end"/>
          </w:r>
          <w:r>
            <w:fldChar w:fldCharType="end"/>
          </w:r>
        </w:p>
        <w:p w14:paraId="1B2C9D31">
          <w:pPr>
            <w:pStyle w:val="11"/>
            <w:tabs>
              <w:tab w:val="right" w:leader="dot" w:pos="8296"/>
            </w:tabs>
          </w:pPr>
          <w:r>
            <w:fldChar w:fldCharType="begin"/>
          </w:r>
          <w:r>
            <w:instrText xml:space="preserve"> HYPERLINK \l "_Toc60900785" </w:instrText>
          </w:r>
          <w:r>
            <w:fldChar w:fldCharType="separate"/>
          </w:r>
          <w:r>
            <w:rPr>
              <w:rStyle w:val="18"/>
              <w:rFonts w:hint="eastAsia" w:ascii="楷体" w:hAnsi="楷体" w:eastAsia="楷体" w:cs="楷体"/>
            </w:rPr>
            <w:t>第四节</w:t>
          </w:r>
          <w:r>
            <w:rPr>
              <w:rStyle w:val="18"/>
              <w:rFonts w:ascii="楷体" w:hAnsi="楷体" w:eastAsia="楷体" w:cs="楷体"/>
            </w:rPr>
            <w:t xml:space="preserve">  </w:t>
          </w:r>
          <w:r>
            <w:rPr>
              <w:rStyle w:val="18"/>
              <w:rFonts w:hint="eastAsia" w:ascii="楷体" w:hAnsi="楷体" w:eastAsia="楷体" w:cs="楷体"/>
            </w:rPr>
            <w:t>发展目标</w:t>
          </w:r>
          <w:r>
            <w:tab/>
          </w:r>
          <w:r>
            <w:fldChar w:fldCharType="begin"/>
          </w:r>
          <w:r>
            <w:instrText xml:space="preserve"> PAGEREF _Toc60900785 \h </w:instrText>
          </w:r>
          <w:r>
            <w:fldChar w:fldCharType="separate"/>
          </w:r>
          <w:r>
            <w:t>15</w:t>
          </w:r>
          <w:r>
            <w:fldChar w:fldCharType="end"/>
          </w:r>
          <w:r>
            <w:fldChar w:fldCharType="end"/>
          </w:r>
        </w:p>
        <w:p w14:paraId="2AE0701E">
          <w:pPr>
            <w:pStyle w:val="10"/>
            <w:rPr>
              <w:rFonts w:asciiTheme="minorHAnsi" w:hAnsiTheme="minorHAnsi" w:eastAsiaTheme="minorEastAsia" w:cstheme="minorBidi"/>
              <w:b w:val="0"/>
              <w:bCs w:val="0"/>
              <w:sz w:val="21"/>
              <w:szCs w:val="22"/>
            </w:rPr>
          </w:pPr>
          <w:r>
            <w:fldChar w:fldCharType="begin"/>
          </w:r>
          <w:r>
            <w:instrText xml:space="preserve"> HYPERLINK \l "_Toc60900786" </w:instrText>
          </w:r>
          <w:r>
            <w:fldChar w:fldCharType="separate"/>
          </w:r>
          <w:r>
            <w:rPr>
              <w:rStyle w:val="18"/>
              <w:rFonts w:hint="eastAsia" w:cs="黑体"/>
              <w:b w:val="0"/>
              <w:kern w:val="0"/>
            </w:rPr>
            <w:t>第三章</w:t>
          </w:r>
          <w:r>
            <w:rPr>
              <w:rStyle w:val="18"/>
              <w:rFonts w:cs="黑体"/>
              <w:b w:val="0"/>
              <w:kern w:val="0"/>
            </w:rPr>
            <w:t xml:space="preserve">  </w:t>
          </w:r>
          <w:r>
            <w:rPr>
              <w:rStyle w:val="18"/>
              <w:rFonts w:hint="eastAsia" w:cs="黑体"/>
              <w:b w:val="0"/>
              <w:kern w:val="0"/>
            </w:rPr>
            <w:t>优化配置，推动优质资源加速集聚</w:t>
          </w:r>
          <w:r>
            <w:rPr>
              <w:b w:val="0"/>
            </w:rPr>
            <w:tab/>
          </w:r>
          <w:r>
            <w:rPr>
              <w:b w:val="0"/>
            </w:rPr>
            <w:fldChar w:fldCharType="begin"/>
          </w:r>
          <w:r>
            <w:rPr>
              <w:b w:val="0"/>
            </w:rPr>
            <w:instrText xml:space="preserve"> PAGEREF _Toc60900786 \h </w:instrText>
          </w:r>
          <w:r>
            <w:rPr>
              <w:b w:val="0"/>
            </w:rPr>
            <w:fldChar w:fldCharType="separate"/>
          </w:r>
          <w:r>
            <w:rPr>
              <w:b w:val="0"/>
            </w:rPr>
            <w:t>18</w:t>
          </w:r>
          <w:r>
            <w:rPr>
              <w:b w:val="0"/>
            </w:rPr>
            <w:fldChar w:fldCharType="end"/>
          </w:r>
          <w:r>
            <w:rPr>
              <w:b w:val="0"/>
            </w:rPr>
            <w:fldChar w:fldCharType="end"/>
          </w:r>
        </w:p>
        <w:p w14:paraId="2C5757F6">
          <w:pPr>
            <w:pStyle w:val="11"/>
            <w:tabs>
              <w:tab w:val="right" w:leader="dot" w:pos="8296"/>
            </w:tabs>
          </w:pPr>
          <w:r>
            <w:fldChar w:fldCharType="begin"/>
          </w:r>
          <w:r>
            <w:instrText xml:space="preserve"> HYPERLINK \l "_Toc60900788" </w:instrText>
          </w:r>
          <w:r>
            <w:fldChar w:fldCharType="separate"/>
          </w:r>
          <w:r>
            <w:rPr>
              <w:rStyle w:val="18"/>
              <w:rFonts w:hint="eastAsia" w:ascii="楷体" w:hAnsi="楷体" w:eastAsia="楷体" w:cs="楷体"/>
              <w:bCs/>
              <w:kern w:val="0"/>
            </w:rPr>
            <w:t>第一节</w:t>
          </w:r>
          <w:r>
            <w:rPr>
              <w:rStyle w:val="18"/>
              <w:rFonts w:ascii="楷体" w:hAnsi="楷体" w:eastAsia="楷体" w:cs="楷体"/>
              <w:bCs/>
              <w:kern w:val="0"/>
            </w:rPr>
            <w:t xml:space="preserve">  </w:t>
          </w:r>
          <w:r>
            <w:rPr>
              <w:rStyle w:val="18"/>
              <w:rFonts w:hint="eastAsia" w:ascii="楷体" w:hAnsi="楷体" w:eastAsia="楷体" w:cs="楷体"/>
              <w:bCs/>
              <w:kern w:val="0"/>
            </w:rPr>
            <w:t>持续挖掘前沿招商功能</w:t>
          </w:r>
          <w:r>
            <w:tab/>
          </w:r>
          <w:r>
            <w:fldChar w:fldCharType="begin"/>
          </w:r>
          <w:r>
            <w:instrText xml:space="preserve"> PAGEREF _Toc60900788 \h </w:instrText>
          </w:r>
          <w:r>
            <w:fldChar w:fldCharType="separate"/>
          </w:r>
          <w:r>
            <w:t>18</w:t>
          </w:r>
          <w:r>
            <w:fldChar w:fldCharType="end"/>
          </w:r>
          <w:r>
            <w:fldChar w:fldCharType="end"/>
          </w:r>
        </w:p>
        <w:p w14:paraId="6F528168">
          <w:pPr>
            <w:pStyle w:val="11"/>
            <w:tabs>
              <w:tab w:val="right" w:leader="dot" w:pos="8296"/>
            </w:tabs>
          </w:pPr>
          <w:r>
            <w:fldChar w:fldCharType="begin"/>
          </w:r>
          <w:r>
            <w:instrText xml:space="preserve"> HYPERLINK \l "_Toc60900789" </w:instrText>
          </w:r>
          <w:r>
            <w:fldChar w:fldCharType="separate"/>
          </w:r>
          <w:r>
            <w:rPr>
              <w:rStyle w:val="18"/>
              <w:rFonts w:hint="eastAsia" w:ascii="楷体" w:hAnsi="楷体" w:eastAsia="楷体" w:cs="楷体"/>
              <w:bCs/>
              <w:kern w:val="0"/>
            </w:rPr>
            <w:t>第二节</w:t>
          </w:r>
          <w:r>
            <w:rPr>
              <w:rStyle w:val="18"/>
              <w:rFonts w:ascii="楷体" w:hAnsi="楷体" w:eastAsia="楷体" w:cs="楷体"/>
              <w:bCs/>
              <w:kern w:val="0"/>
            </w:rPr>
            <w:t xml:space="preserve">  </w:t>
          </w:r>
          <w:r>
            <w:rPr>
              <w:rStyle w:val="18"/>
              <w:rFonts w:hint="eastAsia" w:ascii="楷体" w:hAnsi="楷体" w:eastAsia="楷体" w:cs="楷体"/>
              <w:bCs/>
              <w:kern w:val="0"/>
            </w:rPr>
            <w:t>持续优化服务保障机制</w:t>
          </w:r>
          <w:r>
            <w:tab/>
          </w:r>
          <w:r>
            <w:fldChar w:fldCharType="begin"/>
          </w:r>
          <w:r>
            <w:instrText xml:space="preserve"> PAGEREF _Toc60900789 \h </w:instrText>
          </w:r>
          <w:r>
            <w:fldChar w:fldCharType="separate"/>
          </w:r>
          <w:r>
            <w:t>19</w:t>
          </w:r>
          <w:r>
            <w:fldChar w:fldCharType="end"/>
          </w:r>
          <w:r>
            <w:fldChar w:fldCharType="end"/>
          </w:r>
        </w:p>
        <w:p w14:paraId="3BFF213B">
          <w:pPr>
            <w:pStyle w:val="11"/>
            <w:tabs>
              <w:tab w:val="right" w:leader="dot" w:pos="8296"/>
            </w:tabs>
          </w:pPr>
          <w:r>
            <w:fldChar w:fldCharType="begin"/>
          </w:r>
          <w:r>
            <w:instrText xml:space="preserve"> HYPERLINK \l "_Toc60900790" </w:instrText>
          </w:r>
          <w:r>
            <w:fldChar w:fldCharType="separate"/>
          </w:r>
          <w:r>
            <w:rPr>
              <w:rStyle w:val="18"/>
              <w:rFonts w:hint="eastAsia" w:ascii="楷体" w:hAnsi="楷体" w:eastAsia="楷体" w:cs="楷体"/>
              <w:bCs/>
              <w:kern w:val="0"/>
            </w:rPr>
            <w:t>第三节</w:t>
          </w:r>
          <w:r>
            <w:rPr>
              <w:rStyle w:val="18"/>
              <w:rFonts w:ascii="楷体" w:hAnsi="楷体" w:eastAsia="楷体" w:cs="楷体"/>
              <w:bCs/>
              <w:kern w:val="0"/>
            </w:rPr>
            <w:t xml:space="preserve">  </w:t>
          </w:r>
          <w:r>
            <w:rPr>
              <w:rStyle w:val="18"/>
              <w:rFonts w:hint="eastAsia" w:ascii="楷体" w:hAnsi="楷体" w:eastAsia="楷体" w:cs="楷体"/>
              <w:bCs/>
              <w:kern w:val="0"/>
            </w:rPr>
            <w:t>坚持发挥资本撬动作用</w:t>
          </w:r>
          <w:r>
            <w:tab/>
          </w:r>
          <w:r>
            <w:fldChar w:fldCharType="begin"/>
          </w:r>
          <w:r>
            <w:instrText xml:space="preserve"> PAGEREF _Toc60900790 \h </w:instrText>
          </w:r>
          <w:r>
            <w:fldChar w:fldCharType="separate"/>
          </w:r>
          <w:r>
            <w:t>19</w:t>
          </w:r>
          <w:r>
            <w:fldChar w:fldCharType="end"/>
          </w:r>
          <w:r>
            <w:fldChar w:fldCharType="end"/>
          </w:r>
        </w:p>
        <w:p w14:paraId="3E53FD2A">
          <w:pPr>
            <w:pStyle w:val="10"/>
            <w:rPr>
              <w:rFonts w:asciiTheme="minorHAnsi" w:hAnsiTheme="minorHAnsi" w:eastAsiaTheme="minorEastAsia" w:cstheme="minorBidi"/>
              <w:b w:val="0"/>
              <w:bCs w:val="0"/>
              <w:sz w:val="21"/>
              <w:szCs w:val="22"/>
            </w:rPr>
          </w:pPr>
          <w:r>
            <w:fldChar w:fldCharType="begin"/>
          </w:r>
          <w:r>
            <w:instrText xml:space="preserve"> HYPERLINK \l "_Toc60900791" </w:instrText>
          </w:r>
          <w:r>
            <w:fldChar w:fldCharType="separate"/>
          </w:r>
          <w:r>
            <w:rPr>
              <w:rStyle w:val="18"/>
              <w:rFonts w:hint="eastAsia" w:cs="黑体"/>
              <w:b w:val="0"/>
              <w:kern w:val="0"/>
            </w:rPr>
            <w:t>第四章</w:t>
          </w:r>
          <w:r>
            <w:rPr>
              <w:rStyle w:val="18"/>
              <w:rFonts w:cs="黑体"/>
              <w:b w:val="0"/>
              <w:kern w:val="0"/>
            </w:rPr>
            <w:t xml:space="preserve">  </w:t>
          </w:r>
          <w:r>
            <w:rPr>
              <w:rStyle w:val="18"/>
              <w:rFonts w:hint="eastAsia" w:cs="黑体"/>
              <w:b w:val="0"/>
              <w:kern w:val="0"/>
            </w:rPr>
            <w:t>创新驱动，建设产业转移承载区</w:t>
          </w:r>
          <w:r>
            <w:rPr>
              <w:b w:val="0"/>
            </w:rPr>
            <w:tab/>
          </w:r>
          <w:r>
            <w:rPr>
              <w:b w:val="0"/>
            </w:rPr>
            <w:fldChar w:fldCharType="begin"/>
          </w:r>
          <w:r>
            <w:rPr>
              <w:b w:val="0"/>
            </w:rPr>
            <w:instrText xml:space="preserve"> PAGEREF _Toc60900791 \h </w:instrText>
          </w:r>
          <w:r>
            <w:rPr>
              <w:b w:val="0"/>
            </w:rPr>
            <w:fldChar w:fldCharType="separate"/>
          </w:r>
          <w:r>
            <w:rPr>
              <w:b w:val="0"/>
            </w:rPr>
            <w:t>21</w:t>
          </w:r>
          <w:r>
            <w:rPr>
              <w:b w:val="0"/>
            </w:rPr>
            <w:fldChar w:fldCharType="end"/>
          </w:r>
          <w:r>
            <w:rPr>
              <w:b w:val="0"/>
            </w:rPr>
            <w:fldChar w:fldCharType="end"/>
          </w:r>
        </w:p>
        <w:p w14:paraId="595FEBC4">
          <w:pPr>
            <w:pStyle w:val="11"/>
            <w:tabs>
              <w:tab w:val="right" w:leader="dot" w:pos="8296"/>
            </w:tabs>
          </w:pPr>
          <w:r>
            <w:fldChar w:fldCharType="begin"/>
          </w:r>
          <w:r>
            <w:instrText xml:space="preserve"> HYPERLINK \l "_Toc60900792" </w:instrText>
          </w:r>
          <w:r>
            <w:fldChar w:fldCharType="separate"/>
          </w:r>
          <w:r>
            <w:rPr>
              <w:rStyle w:val="18"/>
              <w:rFonts w:hint="eastAsia" w:ascii="楷体" w:hAnsi="楷体" w:eastAsia="楷体" w:cs="仿宋"/>
              <w:kern w:val="0"/>
            </w:rPr>
            <w:t>第一节</w:t>
          </w:r>
          <w:r>
            <w:rPr>
              <w:rStyle w:val="18"/>
              <w:rFonts w:ascii="楷体" w:hAnsi="楷体" w:eastAsia="楷体" w:cs="仿宋"/>
              <w:kern w:val="0"/>
            </w:rPr>
            <w:t xml:space="preserve">  </w:t>
          </w:r>
          <w:r>
            <w:rPr>
              <w:rStyle w:val="18"/>
              <w:rFonts w:hint="eastAsia" w:ascii="楷体" w:hAnsi="楷体" w:eastAsia="楷体" w:cs="仿宋"/>
              <w:kern w:val="0"/>
            </w:rPr>
            <w:t>加强科技创新支撑</w:t>
          </w:r>
          <w:r>
            <w:tab/>
          </w:r>
          <w:r>
            <w:fldChar w:fldCharType="begin"/>
          </w:r>
          <w:r>
            <w:instrText xml:space="preserve"> PAGEREF _Toc60900792 \h </w:instrText>
          </w:r>
          <w:r>
            <w:fldChar w:fldCharType="separate"/>
          </w:r>
          <w:r>
            <w:t>21</w:t>
          </w:r>
          <w:r>
            <w:fldChar w:fldCharType="end"/>
          </w:r>
          <w:r>
            <w:fldChar w:fldCharType="end"/>
          </w:r>
        </w:p>
        <w:p w14:paraId="71CC2C7C">
          <w:pPr>
            <w:pStyle w:val="11"/>
            <w:tabs>
              <w:tab w:val="right" w:leader="dot" w:pos="8296"/>
            </w:tabs>
          </w:pPr>
          <w:r>
            <w:fldChar w:fldCharType="begin"/>
          </w:r>
          <w:r>
            <w:instrText xml:space="preserve"> HYPERLINK \l "_Toc60900793" </w:instrText>
          </w:r>
          <w:r>
            <w:fldChar w:fldCharType="separate"/>
          </w:r>
          <w:r>
            <w:rPr>
              <w:rStyle w:val="18"/>
              <w:rFonts w:hint="eastAsia" w:ascii="楷体" w:hAnsi="楷体" w:eastAsia="楷体" w:cs="楷体"/>
              <w:bCs/>
              <w:kern w:val="0"/>
            </w:rPr>
            <w:t>第二节</w:t>
          </w:r>
          <w:r>
            <w:rPr>
              <w:rStyle w:val="18"/>
              <w:rFonts w:ascii="楷体" w:hAnsi="楷体" w:eastAsia="楷体" w:cs="楷体"/>
              <w:bCs/>
              <w:kern w:val="0"/>
            </w:rPr>
            <w:t xml:space="preserve">  </w:t>
          </w:r>
          <w:r>
            <w:rPr>
              <w:rStyle w:val="18"/>
              <w:rFonts w:hint="eastAsia" w:ascii="楷体" w:hAnsi="楷体" w:eastAsia="楷体" w:cs="楷体"/>
              <w:bCs/>
              <w:kern w:val="0"/>
            </w:rPr>
            <w:t>夯实做优承载平台</w:t>
          </w:r>
          <w:r>
            <w:tab/>
          </w:r>
          <w:r>
            <w:fldChar w:fldCharType="begin"/>
          </w:r>
          <w:r>
            <w:instrText xml:space="preserve"> PAGEREF _Toc60900793 \h </w:instrText>
          </w:r>
          <w:r>
            <w:fldChar w:fldCharType="separate"/>
          </w:r>
          <w:r>
            <w:t>23</w:t>
          </w:r>
          <w:r>
            <w:fldChar w:fldCharType="end"/>
          </w:r>
          <w:r>
            <w:fldChar w:fldCharType="end"/>
          </w:r>
        </w:p>
        <w:p w14:paraId="11E8F303">
          <w:pPr>
            <w:pStyle w:val="11"/>
            <w:tabs>
              <w:tab w:val="right" w:leader="dot" w:pos="8296"/>
            </w:tabs>
          </w:pPr>
          <w:r>
            <w:fldChar w:fldCharType="begin"/>
          </w:r>
          <w:r>
            <w:instrText xml:space="preserve"> HYPERLINK \l "_Toc60900794" </w:instrText>
          </w:r>
          <w:r>
            <w:fldChar w:fldCharType="separate"/>
          </w:r>
          <w:r>
            <w:rPr>
              <w:rStyle w:val="18"/>
              <w:rFonts w:hint="eastAsia" w:ascii="楷体" w:hAnsi="楷体" w:eastAsia="楷体" w:cs="楷体"/>
              <w:bCs/>
              <w:kern w:val="0"/>
            </w:rPr>
            <w:t>第三节</w:t>
          </w:r>
          <w:r>
            <w:rPr>
              <w:rStyle w:val="18"/>
              <w:rFonts w:ascii="楷体" w:hAnsi="楷体" w:eastAsia="楷体" w:cs="楷体"/>
              <w:bCs/>
              <w:kern w:val="0"/>
            </w:rPr>
            <w:t xml:space="preserve">  </w:t>
          </w:r>
          <w:r>
            <w:rPr>
              <w:rStyle w:val="18"/>
              <w:rFonts w:hint="eastAsia" w:ascii="楷体" w:hAnsi="楷体" w:eastAsia="楷体" w:cs="楷体"/>
              <w:bCs/>
              <w:kern w:val="0"/>
            </w:rPr>
            <w:t>推动产业延链强链</w:t>
          </w:r>
          <w:r>
            <w:tab/>
          </w:r>
          <w:r>
            <w:fldChar w:fldCharType="begin"/>
          </w:r>
          <w:r>
            <w:instrText xml:space="preserve"> PAGEREF _Toc60900794 \h </w:instrText>
          </w:r>
          <w:r>
            <w:fldChar w:fldCharType="separate"/>
          </w:r>
          <w:r>
            <w:t>23</w:t>
          </w:r>
          <w:r>
            <w:fldChar w:fldCharType="end"/>
          </w:r>
          <w:r>
            <w:fldChar w:fldCharType="end"/>
          </w:r>
        </w:p>
        <w:p w14:paraId="6B017313">
          <w:pPr>
            <w:pStyle w:val="11"/>
            <w:tabs>
              <w:tab w:val="right" w:leader="dot" w:pos="8296"/>
            </w:tabs>
          </w:pPr>
          <w:r>
            <w:fldChar w:fldCharType="begin"/>
          </w:r>
          <w:r>
            <w:instrText xml:space="preserve"> HYPERLINK \l "_Toc60900795" </w:instrText>
          </w:r>
          <w:r>
            <w:fldChar w:fldCharType="separate"/>
          </w:r>
          <w:r>
            <w:rPr>
              <w:rStyle w:val="18"/>
              <w:rFonts w:hint="eastAsia" w:ascii="楷体" w:hAnsi="楷体" w:eastAsia="楷体" w:cs="楷体"/>
              <w:kern w:val="0"/>
            </w:rPr>
            <w:t>第四节</w:t>
          </w:r>
          <w:r>
            <w:rPr>
              <w:rStyle w:val="18"/>
              <w:rFonts w:ascii="楷体" w:hAnsi="楷体" w:eastAsia="楷体" w:cs="楷体"/>
              <w:kern w:val="0"/>
            </w:rPr>
            <w:t xml:space="preserve">  </w:t>
          </w:r>
          <w:r>
            <w:rPr>
              <w:rStyle w:val="18"/>
              <w:rFonts w:hint="eastAsia" w:ascii="楷体" w:hAnsi="楷体" w:eastAsia="楷体" w:cs="楷体"/>
              <w:kern w:val="0"/>
            </w:rPr>
            <w:t>服务蚌淮一体化建设</w:t>
          </w:r>
          <w:r>
            <w:tab/>
          </w:r>
          <w:r>
            <w:fldChar w:fldCharType="begin"/>
          </w:r>
          <w:r>
            <w:instrText xml:space="preserve"> PAGEREF _Toc60900795 \h </w:instrText>
          </w:r>
          <w:r>
            <w:fldChar w:fldCharType="separate"/>
          </w:r>
          <w:r>
            <w:t>25</w:t>
          </w:r>
          <w:r>
            <w:fldChar w:fldCharType="end"/>
          </w:r>
          <w:r>
            <w:fldChar w:fldCharType="end"/>
          </w:r>
        </w:p>
        <w:p w14:paraId="33616FDF">
          <w:pPr>
            <w:pStyle w:val="10"/>
            <w:rPr>
              <w:rFonts w:asciiTheme="minorHAnsi" w:hAnsiTheme="minorHAnsi" w:eastAsiaTheme="minorEastAsia" w:cstheme="minorBidi"/>
              <w:b w:val="0"/>
              <w:bCs w:val="0"/>
              <w:sz w:val="21"/>
              <w:szCs w:val="22"/>
            </w:rPr>
          </w:pPr>
          <w:r>
            <w:fldChar w:fldCharType="begin"/>
          </w:r>
          <w:r>
            <w:instrText xml:space="preserve"> HYPERLINK \l "_Toc60900796" </w:instrText>
          </w:r>
          <w:r>
            <w:fldChar w:fldCharType="separate"/>
          </w:r>
          <w:r>
            <w:rPr>
              <w:rStyle w:val="18"/>
              <w:rFonts w:hint="eastAsia" w:cs="黑体"/>
              <w:b w:val="0"/>
            </w:rPr>
            <w:t>第五章</w:t>
          </w:r>
          <w:r>
            <w:rPr>
              <w:rStyle w:val="18"/>
              <w:rFonts w:cs="黑体"/>
              <w:b w:val="0"/>
            </w:rPr>
            <w:t xml:space="preserve">  </w:t>
          </w:r>
          <w:r>
            <w:rPr>
              <w:rStyle w:val="18"/>
              <w:rFonts w:hint="eastAsia" w:cs="黑体"/>
              <w:b w:val="0"/>
            </w:rPr>
            <w:t>规划引领，倾力打造城市更新示范区</w:t>
          </w:r>
          <w:r>
            <w:rPr>
              <w:b w:val="0"/>
            </w:rPr>
            <w:tab/>
          </w:r>
          <w:r>
            <w:rPr>
              <w:b w:val="0"/>
            </w:rPr>
            <w:fldChar w:fldCharType="begin"/>
          </w:r>
          <w:r>
            <w:rPr>
              <w:b w:val="0"/>
            </w:rPr>
            <w:instrText xml:space="preserve"> PAGEREF _Toc60900796 \h </w:instrText>
          </w:r>
          <w:r>
            <w:rPr>
              <w:b w:val="0"/>
            </w:rPr>
            <w:fldChar w:fldCharType="separate"/>
          </w:r>
          <w:r>
            <w:rPr>
              <w:b w:val="0"/>
            </w:rPr>
            <w:t>28</w:t>
          </w:r>
          <w:r>
            <w:rPr>
              <w:b w:val="0"/>
            </w:rPr>
            <w:fldChar w:fldCharType="end"/>
          </w:r>
          <w:r>
            <w:rPr>
              <w:b w:val="0"/>
            </w:rPr>
            <w:fldChar w:fldCharType="end"/>
          </w:r>
        </w:p>
        <w:p w14:paraId="282629A4">
          <w:pPr>
            <w:pStyle w:val="11"/>
            <w:tabs>
              <w:tab w:val="right" w:leader="dot" w:pos="8296"/>
            </w:tabs>
          </w:pPr>
          <w:r>
            <w:fldChar w:fldCharType="begin"/>
          </w:r>
          <w:r>
            <w:instrText xml:space="preserve"> HYPERLINK \l "_Toc60900798" </w:instrText>
          </w:r>
          <w:r>
            <w:fldChar w:fldCharType="separate"/>
          </w:r>
          <w:r>
            <w:rPr>
              <w:rStyle w:val="18"/>
              <w:rFonts w:hint="eastAsia" w:ascii="楷体" w:hAnsi="楷体" w:eastAsia="楷体" w:cs="楷体"/>
              <w:bCs/>
              <w:kern w:val="0"/>
            </w:rPr>
            <w:t>第一节</w:t>
          </w:r>
          <w:r>
            <w:rPr>
              <w:rStyle w:val="18"/>
              <w:rFonts w:ascii="楷体" w:hAnsi="楷体" w:eastAsia="楷体" w:cs="楷体"/>
              <w:bCs/>
              <w:kern w:val="0"/>
            </w:rPr>
            <w:t xml:space="preserve">  </w:t>
          </w:r>
          <w:r>
            <w:rPr>
              <w:rStyle w:val="18"/>
              <w:rFonts w:hint="eastAsia" w:ascii="楷体" w:hAnsi="楷体" w:eastAsia="楷体" w:cs="楷体"/>
              <w:bCs/>
              <w:kern w:val="0"/>
            </w:rPr>
            <w:t>推动老城区综合开发</w:t>
          </w:r>
          <w:r>
            <w:tab/>
          </w:r>
          <w:r>
            <w:fldChar w:fldCharType="begin"/>
          </w:r>
          <w:r>
            <w:instrText xml:space="preserve"> PAGEREF _Toc60900798 \h </w:instrText>
          </w:r>
          <w:r>
            <w:fldChar w:fldCharType="separate"/>
          </w:r>
          <w:r>
            <w:t>28</w:t>
          </w:r>
          <w:r>
            <w:fldChar w:fldCharType="end"/>
          </w:r>
          <w:r>
            <w:fldChar w:fldCharType="end"/>
          </w:r>
        </w:p>
        <w:p w14:paraId="76E9563E">
          <w:pPr>
            <w:pStyle w:val="11"/>
            <w:tabs>
              <w:tab w:val="right" w:leader="dot" w:pos="8296"/>
            </w:tabs>
          </w:pPr>
          <w:r>
            <w:fldChar w:fldCharType="begin"/>
          </w:r>
          <w:r>
            <w:instrText xml:space="preserve"> HYPERLINK \l "_Toc60900799" </w:instrText>
          </w:r>
          <w:r>
            <w:fldChar w:fldCharType="separate"/>
          </w:r>
          <w:r>
            <w:rPr>
              <w:rStyle w:val="18"/>
              <w:rFonts w:hint="eastAsia" w:ascii="楷体" w:hAnsi="楷体" w:eastAsia="楷体" w:cs="楷体"/>
              <w:bCs/>
              <w:kern w:val="0"/>
            </w:rPr>
            <w:t>第二节</w:t>
          </w:r>
          <w:r>
            <w:rPr>
              <w:rStyle w:val="18"/>
              <w:rFonts w:ascii="楷体" w:hAnsi="楷体" w:eastAsia="楷体" w:cs="楷体"/>
              <w:bCs/>
              <w:kern w:val="0"/>
            </w:rPr>
            <w:t xml:space="preserve">  </w:t>
          </w:r>
          <w:r>
            <w:rPr>
              <w:rStyle w:val="18"/>
              <w:rFonts w:hint="eastAsia" w:ascii="楷体" w:hAnsi="楷体" w:eastAsia="楷体" w:cs="楷体"/>
              <w:bCs/>
              <w:kern w:val="0"/>
            </w:rPr>
            <w:t>加快总部经济建设</w:t>
          </w:r>
          <w:r>
            <w:tab/>
          </w:r>
          <w:r>
            <w:fldChar w:fldCharType="begin"/>
          </w:r>
          <w:r>
            <w:instrText xml:space="preserve"> PAGEREF _Toc60900799 \h </w:instrText>
          </w:r>
          <w:r>
            <w:fldChar w:fldCharType="separate"/>
          </w:r>
          <w:r>
            <w:t>29</w:t>
          </w:r>
          <w:r>
            <w:fldChar w:fldCharType="end"/>
          </w:r>
          <w:r>
            <w:fldChar w:fldCharType="end"/>
          </w:r>
        </w:p>
        <w:p w14:paraId="718810EF">
          <w:pPr>
            <w:pStyle w:val="11"/>
            <w:tabs>
              <w:tab w:val="right" w:leader="dot" w:pos="8296"/>
            </w:tabs>
          </w:pPr>
          <w:r>
            <w:fldChar w:fldCharType="begin"/>
          </w:r>
          <w:r>
            <w:instrText xml:space="preserve"> HYPERLINK \l "_Toc60900800" </w:instrText>
          </w:r>
          <w:r>
            <w:fldChar w:fldCharType="separate"/>
          </w:r>
          <w:r>
            <w:rPr>
              <w:rStyle w:val="18"/>
              <w:rFonts w:hint="eastAsia" w:ascii="楷体" w:hAnsi="楷体" w:eastAsia="楷体" w:cs="楷体"/>
            </w:rPr>
            <w:t>第三节</w:t>
          </w:r>
          <w:r>
            <w:rPr>
              <w:rStyle w:val="18"/>
              <w:rFonts w:ascii="楷体" w:hAnsi="楷体" w:eastAsia="楷体" w:cs="楷体"/>
            </w:rPr>
            <w:t xml:space="preserve">  </w:t>
          </w:r>
          <w:r>
            <w:rPr>
              <w:rStyle w:val="18"/>
              <w:rFonts w:hint="eastAsia" w:ascii="楷体" w:hAnsi="楷体" w:eastAsia="楷体" w:cs="楷体"/>
            </w:rPr>
            <w:t>打造淮河航运中心</w:t>
          </w:r>
          <w:r>
            <w:tab/>
          </w:r>
          <w:r>
            <w:fldChar w:fldCharType="begin"/>
          </w:r>
          <w:r>
            <w:instrText xml:space="preserve"> PAGEREF _Toc60900800 \h </w:instrText>
          </w:r>
          <w:r>
            <w:fldChar w:fldCharType="separate"/>
          </w:r>
          <w:r>
            <w:t>30</w:t>
          </w:r>
          <w:r>
            <w:fldChar w:fldCharType="end"/>
          </w:r>
          <w:r>
            <w:fldChar w:fldCharType="end"/>
          </w:r>
        </w:p>
        <w:p w14:paraId="20563E17">
          <w:pPr>
            <w:pStyle w:val="11"/>
            <w:tabs>
              <w:tab w:val="right" w:leader="dot" w:pos="8296"/>
            </w:tabs>
          </w:pPr>
          <w:r>
            <w:fldChar w:fldCharType="begin"/>
          </w:r>
          <w:r>
            <w:instrText xml:space="preserve"> HYPERLINK \l "_Toc60900801" </w:instrText>
          </w:r>
          <w:r>
            <w:fldChar w:fldCharType="separate"/>
          </w:r>
          <w:r>
            <w:rPr>
              <w:rStyle w:val="18"/>
              <w:rFonts w:hint="eastAsia" w:ascii="楷体" w:hAnsi="楷体" w:eastAsia="楷体" w:cs="楷体"/>
              <w:kern w:val="0"/>
            </w:rPr>
            <w:t>第四节</w:t>
          </w:r>
          <w:r>
            <w:rPr>
              <w:rStyle w:val="18"/>
              <w:rFonts w:ascii="楷体" w:hAnsi="楷体" w:eastAsia="楷体" w:cs="楷体"/>
              <w:kern w:val="0"/>
            </w:rPr>
            <w:t xml:space="preserve">  </w:t>
          </w:r>
          <w:r>
            <w:rPr>
              <w:rStyle w:val="18"/>
              <w:rFonts w:hint="eastAsia" w:ascii="楷体" w:hAnsi="楷体" w:eastAsia="楷体" w:cs="楷体"/>
              <w:kern w:val="0"/>
            </w:rPr>
            <w:t>提升城区通达水平</w:t>
          </w:r>
          <w:r>
            <w:tab/>
          </w:r>
          <w:r>
            <w:fldChar w:fldCharType="begin"/>
          </w:r>
          <w:r>
            <w:instrText xml:space="preserve"> PAGEREF _Toc60900801 \h </w:instrText>
          </w:r>
          <w:r>
            <w:fldChar w:fldCharType="separate"/>
          </w:r>
          <w:r>
            <w:t>31</w:t>
          </w:r>
          <w:r>
            <w:fldChar w:fldCharType="end"/>
          </w:r>
          <w:r>
            <w:fldChar w:fldCharType="end"/>
          </w:r>
        </w:p>
        <w:p w14:paraId="7ED55F47">
          <w:pPr>
            <w:pStyle w:val="10"/>
            <w:rPr>
              <w:rFonts w:asciiTheme="minorHAnsi" w:hAnsiTheme="minorHAnsi" w:eastAsiaTheme="minorEastAsia" w:cstheme="minorBidi"/>
              <w:b w:val="0"/>
              <w:bCs w:val="0"/>
              <w:sz w:val="21"/>
              <w:szCs w:val="22"/>
            </w:rPr>
          </w:pPr>
          <w:r>
            <w:fldChar w:fldCharType="begin"/>
          </w:r>
          <w:r>
            <w:instrText xml:space="preserve"> HYPERLINK \l "_Toc60900802" </w:instrText>
          </w:r>
          <w:r>
            <w:fldChar w:fldCharType="separate"/>
          </w:r>
          <w:r>
            <w:rPr>
              <w:rStyle w:val="18"/>
              <w:rFonts w:hint="eastAsia" w:cs="黑体"/>
              <w:b w:val="0"/>
              <w:kern w:val="0"/>
            </w:rPr>
            <w:t>第六章</w:t>
          </w:r>
          <w:r>
            <w:rPr>
              <w:rStyle w:val="18"/>
              <w:rFonts w:cs="黑体"/>
              <w:b w:val="0"/>
              <w:kern w:val="0"/>
            </w:rPr>
            <w:t xml:space="preserve">  </w:t>
          </w:r>
          <w:r>
            <w:rPr>
              <w:rStyle w:val="18"/>
              <w:rFonts w:hint="eastAsia" w:cs="黑体"/>
              <w:b w:val="0"/>
            </w:rPr>
            <w:t>生态优先，构建文旅融合试验区</w:t>
          </w:r>
          <w:r>
            <w:rPr>
              <w:b w:val="0"/>
            </w:rPr>
            <w:tab/>
          </w:r>
          <w:r>
            <w:rPr>
              <w:b w:val="0"/>
            </w:rPr>
            <w:fldChar w:fldCharType="begin"/>
          </w:r>
          <w:r>
            <w:rPr>
              <w:b w:val="0"/>
            </w:rPr>
            <w:instrText xml:space="preserve"> PAGEREF _Toc60900802 \h </w:instrText>
          </w:r>
          <w:r>
            <w:rPr>
              <w:b w:val="0"/>
            </w:rPr>
            <w:fldChar w:fldCharType="separate"/>
          </w:r>
          <w:r>
            <w:rPr>
              <w:b w:val="0"/>
            </w:rPr>
            <w:t>33</w:t>
          </w:r>
          <w:r>
            <w:rPr>
              <w:b w:val="0"/>
            </w:rPr>
            <w:fldChar w:fldCharType="end"/>
          </w:r>
          <w:r>
            <w:rPr>
              <w:b w:val="0"/>
            </w:rPr>
            <w:fldChar w:fldCharType="end"/>
          </w:r>
        </w:p>
        <w:p w14:paraId="7A6EDCA0">
          <w:pPr>
            <w:pStyle w:val="11"/>
            <w:tabs>
              <w:tab w:val="right" w:leader="dot" w:pos="8296"/>
            </w:tabs>
          </w:pPr>
          <w:r>
            <w:fldChar w:fldCharType="begin"/>
          </w:r>
          <w:r>
            <w:instrText xml:space="preserve"> HYPERLINK \l "_Toc60900803" </w:instrText>
          </w:r>
          <w:r>
            <w:fldChar w:fldCharType="separate"/>
          </w:r>
          <w:r>
            <w:rPr>
              <w:rStyle w:val="18"/>
              <w:rFonts w:hint="eastAsia" w:ascii="楷体" w:hAnsi="楷体" w:eastAsia="楷体" w:cs="楷体"/>
              <w:bCs/>
              <w:kern w:val="0"/>
            </w:rPr>
            <w:t>第一节</w:t>
          </w:r>
          <w:r>
            <w:rPr>
              <w:rStyle w:val="18"/>
              <w:rFonts w:ascii="楷体" w:hAnsi="楷体" w:eastAsia="楷体" w:cs="楷体"/>
              <w:bCs/>
              <w:kern w:val="0"/>
            </w:rPr>
            <w:t xml:space="preserve">  </w:t>
          </w:r>
          <w:r>
            <w:rPr>
              <w:rStyle w:val="18"/>
              <w:rFonts w:hint="eastAsia" w:ascii="楷体" w:hAnsi="楷体" w:eastAsia="楷体" w:cs="楷体"/>
              <w:bCs/>
              <w:kern w:val="0"/>
            </w:rPr>
            <w:t>加强生态保护与开发</w:t>
          </w:r>
          <w:r>
            <w:tab/>
          </w:r>
          <w:r>
            <w:fldChar w:fldCharType="begin"/>
          </w:r>
          <w:r>
            <w:instrText xml:space="preserve"> PAGEREF _Toc60900803 \h </w:instrText>
          </w:r>
          <w:r>
            <w:fldChar w:fldCharType="separate"/>
          </w:r>
          <w:r>
            <w:t>33</w:t>
          </w:r>
          <w:r>
            <w:fldChar w:fldCharType="end"/>
          </w:r>
          <w:r>
            <w:fldChar w:fldCharType="end"/>
          </w:r>
        </w:p>
        <w:p w14:paraId="6FCCC812">
          <w:pPr>
            <w:pStyle w:val="11"/>
            <w:tabs>
              <w:tab w:val="right" w:leader="dot" w:pos="8296"/>
            </w:tabs>
          </w:pPr>
          <w:r>
            <w:fldChar w:fldCharType="begin"/>
          </w:r>
          <w:r>
            <w:instrText xml:space="preserve"> HYPERLINK \l "_Toc60900804" </w:instrText>
          </w:r>
          <w:r>
            <w:fldChar w:fldCharType="separate"/>
          </w:r>
          <w:r>
            <w:rPr>
              <w:rStyle w:val="18"/>
              <w:rFonts w:hint="eastAsia" w:ascii="楷体" w:hAnsi="楷体" w:eastAsia="楷体" w:cs="楷体"/>
              <w:bCs/>
              <w:kern w:val="0"/>
            </w:rPr>
            <w:t>第二节</w:t>
          </w:r>
          <w:r>
            <w:rPr>
              <w:rStyle w:val="18"/>
              <w:rFonts w:ascii="楷体" w:hAnsi="楷体" w:eastAsia="楷体" w:cs="楷体"/>
              <w:bCs/>
              <w:kern w:val="0"/>
            </w:rPr>
            <w:t xml:space="preserve">  </w:t>
          </w:r>
          <w:r>
            <w:rPr>
              <w:rStyle w:val="18"/>
              <w:rFonts w:hint="eastAsia" w:ascii="楷体" w:hAnsi="楷体" w:eastAsia="楷体" w:cs="楷体"/>
              <w:bCs/>
              <w:kern w:val="0"/>
            </w:rPr>
            <w:t>建设皖北优质文旅中心</w:t>
          </w:r>
          <w:r>
            <w:tab/>
          </w:r>
          <w:r>
            <w:fldChar w:fldCharType="begin"/>
          </w:r>
          <w:r>
            <w:instrText xml:space="preserve"> PAGEREF _Toc60900804 \h </w:instrText>
          </w:r>
          <w:r>
            <w:fldChar w:fldCharType="separate"/>
          </w:r>
          <w:r>
            <w:t>34</w:t>
          </w:r>
          <w:r>
            <w:fldChar w:fldCharType="end"/>
          </w:r>
          <w:r>
            <w:fldChar w:fldCharType="end"/>
          </w:r>
        </w:p>
        <w:p w14:paraId="32127997">
          <w:pPr>
            <w:pStyle w:val="11"/>
            <w:tabs>
              <w:tab w:val="right" w:leader="dot" w:pos="8296"/>
            </w:tabs>
          </w:pPr>
          <w:r>
            <w:fldChar w:fldCharType="begin"/>
          </w:r>
          <w:r>
            <w:instrText xml:space="preserve"> HYPERLINK \l "_Toc60900805" </w:instrText>
          </w:r>
          <w:r>
            <w:fldChar w:fldCharType="separate"/>
          </w:r>
          <w:r>
            <w:rPr>
              <w:rStyle w:val="18"/>
              <w:rFonts w:hint="eastAsia" w:ascii="楷体" w:hAnsi="楷体" w:eastAsia="楷体" w:cs="楷体"/>
            </w:rPr>
            <w:t>第三节</w:t>
          </w:r>
          <w:r>
            <w:rPr>
              <w:rStyle w:val="18"/>
              <w:rFonts w:ascii="楷体" w:hAnsi="楷体" w:eastAsia="楷体" w:cs="楷体"/>
            </w:rPr>
            <w:t xml:space="preserve">  </w:t>
          </w:r>
          <w:r>
            <w:rPr>
              <w:rStyle w:val="18"/>
              <w:rFonts w:hint="eastAsia" w:ascii="楷体" w:hAnsi="楷体" w:eastAsia="楷体" w:cs="楷体"/>
            </w:rPr>
            <w:t>纵深推进乡村振兴</w:t>
          </w:r>
          <w:r>
            <w:tab/>
          </w:r>
          <w:r>
            <w:fldChar w:fldCharType="begin"/>
          </w:r>
          <w:r>
            <w:instrText xml:space="preserve"> PAGEREF _Toc60900805 \h </w:instrText>
          </w:r>
          <w:r>
            <w:fldChar w:fldCharType="separate"/>
          </w:r>
          <w:r>
            <w:t>36</w:t>
          </w:r>
          <w:r>
            <w:fldChar w:fldCharType="end"/>
          </w:r>
          <w:r>
            <w:fldChar w:fldCharType="end"/>
          </w:r>
        </w:p>
        <w:p w14:paraId="584A3E1C">
          <w:pPr>
            <w:pStyle w:val="10"/>
            <w:rPr>
              <w:rFonts w:asciiTheme="minorHAnsi" w:hAnsiTheme="minorHAnsi" w:eastAsiaTheme="minorEastAsia" w:cstheme="minorBidi"/>
              <w:b w:val="0"/>
              <w:bCs w:val="0"/>
              <w:sz w:val="21"/>
              <w:szCs w:val="22"/>
            </w:rPr>
          </w:pPr>
          <w:r>
            <w:fldChar w:fldCharType="begin"/>
          </w:r>
          <w:r>
            <w:instrText xml:space="preserve"> HYPERLINK \l "_Toc60900806" </w:instrText>
          </w:r>
          <w:r>
            <w:fldChar w:fldCharType="separate"/>
          </w:r>
          <w:r>
            <w:rPr>
              <w:rStyle w:val="18"/>
              <w:rFonts w:hint="eastAsia" w:cs="黑体"/>
              <w:b w:val="0"/>
              <w:kern w:val="0"/>
            </w:rPr>
            <w:t>第七章</w:t>
          </w:r>
          <w:r>
            <w:rPr>
              <w:rStyle w:val="18"/>
              <w:rFonts w:cs="黑体"/>
              <w:b w:val="0"/>
              <w:kern w:val="0"/>
            </w:rPr>
            <w:t xml:space="preserve">  </w:t>
          </w:r>
          <w:r>
            <w:rPr>
              <w:rStyle w:val="18"/>
              <w:rFonts w:hint="eastAsia" w:cs="黑体"/>
              <w:b w:val="0"/>
              <w:kern w:val="0"/>
            </w:rPr>
            <w:t>以人为本，全面提升群众的幸福指数</w:t>
          </w:r>
          <w:r>
            <w:rPr>
              <w:b w:val="0"/>
            </w:rPr>
            <w:tab/>
          </w:r>
          <w:r>
            <w:rPr>
              <w:b w:val="0"/>
            </w:rPr>
            <w:fldChar w:fldCharType="begin"/>
          </w:r>
          <w:r>
            <w:rPr>
              <w:b w:val="0"/>
            </w:rPr>
            <w:instrText xml:space="preserve"> PAGEREF _Toc60900806 \h </w:instrText>
          </w:r>
          <w:r>
            <w:rPr>
              <w:b w:val="0"/>
            </w:rPr>
            <w:fldChar w:fldCharType="separate"/>
          </w:r>
          <w:r>
            <w:rPr>
              <w:b w:val="0"/>
            </w:rPr>
            <w:t>38</w:t>
          </w:r>
          <w:r>
            <w:rPr>
              <w:b w:val="0"/>
            </w:rPr>
            <w:fldChar w:fldCharType="end"/>
          </w:r>
          <w:r>
            <w:rPr>
              <w:b w:val="0"/>
            </w:rPr>
            <w:fldChar w:fldCharType="end"/>
          </w:r>
        </w:p>
        <w:p w14:paraId="78EF1F85">
          <w:pPr>
            <w:pStyle w:val="11"/>
            <w:tabs>
              <w:tab w:val="right" w:leader="dot" w:pos="8296"/>
            </w:tabs>
          </w:pPr>
          <w:r>
            <w:fldChar w:fldCharType="begin"/>
          </w:r>
          <w:r>
            <w:instrText xml:space="preserve"> HYPERLINK \l "_Toc60900808" </w:instrText>
          </w:r>
          <w:r>
            <w:fldChar w:fldCharType="separate"/>
          </w:r>
          <w:r>
            <w:rPr>
              <w:rStyle w:val="18"/>
              <w:rFonts w:hint="eastAsia" w:ascii="楷体" w:hAnsi="楷体" w:eastAsia="楷体" w:cs="楷体"/>
              <w:bCs/>
              <w:kern w:val="0"/>
            </w:rPr>
            <w:t>第一节</w:t>
          </w:r>
          <w:r>
            <w:rPr>
              <w:rStyle w:val="18"/>
              <w:rFonts w:ascii="楷体" w:hAnsi="楷体" w:eastAsia="楷体" w:cs="楷体"/>
              <w:bCs/>
              <w:kern w:val="0"/>
            </w:rPr>
            <w:t xml:space="preserve">  </w:t>
          </w:r>
          <w:r>
            <w:rPr>
              <w:rStyle w:val="18"/>
              <w:rFonts w:hint="eastAsia" w:ascii="楷体" w:hAnsi="楷体" w:eastAsia="楷体" w:cs="楷体"/>
              <w:bCs/>
              <w:kern w:val="0"/>
            </w:rPr>
            <w:t>优先发展教育事业</w:t>
          </w:r>
          <w:r>
            <w:tab/>
          </w:r>
          <w:r>
            <w:fldChar w:fldCharType="begin"/>
          </w:r>
          <w:r>
            <w:instrText xml:space="preserve"> PAGEREF _Toc60900808 \h </w:instrText>
          </w:r>
          <w:r>
            <w:fldChar w:fldCharType="separate"/>
          </w:r>
          <w:r>
            <w:t>38</w:t>
          </w:r>
          <w:r>
            <w:fldChar w:fldCharType="end"/>
          </w:r>
          <w:r>
            <w:fldChar w:fldCharType="end"/>
          </w:r>
        </w:p>
        <w:p w14:paraId="76EB6E14">
          <w:pPr>
            <w:pStyle w:val="11"/>
            <w:tabs>
              <w:tab w:val="right" w:leader="dot" w:pos="8296"/>
            </w:tabs>
          </w:pPr>
          <w:r>
            <w:fldChar w:fldCharType="begin"/>
          </w:r>
          <w:r>
            <w:instrText xml:space="preserve"> HYPERLINK \l "_Toc60900809" </w:instrText>
          </w:r>
          <w:r>
            <w:fldChar w:fldCharType="separate"/>
          </w:r>
          <w:r>
            <w:rPr>
              <w:rStyle w:val="18"/>
              <w:rFonts w:hint="eastAsia" w:ascii="楷体" w:hAnsi="楷体" w:eastAsia="楷体" w:cs="楷体"/>
              <w:bCs/>
              <w:kern w:val="0"/>
            </w:rPr>
            <w:t>第二节</w:t>
          </w:r>
          <w:r>
            <w:rPr>
              <w:rStyle w:val="18"/>
              <w:rFonts w:ascii="楷体" w:hAnsi="楷体" w:eastAsia="楷体" w:cs="楷体"/>
              <w:bCs/>
              <w:kern w:val="0"/>
            </w:rPr>
            <w:t xml:space="preserve">  </w:t>
          </w:r>
          <w:r>
            <w:rPr>
              <w:rStyle w:val="18"/>
              <w:rFonts w:hint="eastAsia" w:ascii="楷体" w:hAnsi="楷体" w:eastAsia="楷体" w:cs="楷体"/>
              <w:bCs/>
              <w:kern w:val="0"/>
            </w:rPr>
            <w:t>提升卫生健康工作水平</w:t>
          </w:r>
          <w:r>
            <w:tab/>
          </w:r>
          <w:r>
            <w:fldChar w:fldCharType="begin"/>
          </w:r>
          <w:r>
            <w:instrText xml:space="preserve"> PAGEREF _Toc60900809 \h </w:instrText>
          </w:r>
          <w:r>
            <w:fldChar w:fldCharType="separate"/>
          </w:r>
          <w:r>
            <w:t>38</w:t>
          </w:r>
          <w:r>
            <w:fldChar w:fldCharType="end"/>
          </w:r>
          <w:r>
            <w:fldChar w:fldCharType="end"/>
          </w:r>
        </w:p>
        <w:p w14:paraId="4F52E89F">
          <w:pPr>
            <w:pStyle w:val="11"/>
            <w:tabs>
              <w:tab w:val="right" w:leader="dot" w:pos="8296"/>
            </w:tabs>
          </w:pPr>
          <w:r>
            <w:fldChar w:fldCharType="begin"/>
          </w:r>
          <w:r>
            <w:instrText xml:space="preserve"> HYPERLINK \l "_Toc60900810" </w:instrText>
          </w:r>
          <w:r>
            <w:fldChar w:fldCharType="separate"/>
          </w:r>
          <w:r>
            <w:rPr>
              <w:rStyle w:val="18"/>
              <w:rFonts w:hint="eastAsia" w:ascii="楷体" w:hAnsi="楷体" w:eastAsia="楷体" w:cs="楷体"/>
              <w:bCs/>
              <w:kern w:val="0"/>
            </w:rPr>
            <w:t>第三节</w:t>
          </w:r>
          <w:r>
            <w:rPr>
              <w:rStyle w:val="18"/>
              <w:rFonts w:ascii="楷体" w:hAnsi="楷体" w:eastAsia="楷体" w:cs="楷体"/>
              <w:bCs/>
              <w:kern w:val="0"/>
            </w:rPr>
            <w:t xml:space="preserve">  </w:t>
          </w:r>
          <w:r>
            <w:rPr>
              <w:rStyle w:val="18"/>
              <w:rFonts w:hint="eastAsia" w:ascii="楷体" w:hAnsi="楷体" w:eastAsia="楷体" w:cs="楷体"/>
              <w:bCs/>
              <w:kern w:val="0"/>
            </w:rPr>
            <w:t>健全社会保障体系</w:t>
          </w:r>
          <w:r>
            <w:tab/>
          </w:r>
          <w:r>
            <w:fldChar w:fldCharType="begin"/>
          </w:r>
          <w:r>
            <w:instrText xml:space="preserve"> PAGEREF _Toc60900810 \h </w:instrText>
          </w:r>
          <w:r>
            <w:fldChar w:fldCharType="separate"/>
          </w:r>
          <w:r>
            <w:t>39</w:t>
          </w:r>
          <w:r>
            <w:fldChar w:fldCharType="end"/>
          </w:r>
          <w:r>
            <w:fldChar w:fldCharType="end"/>
          </w:r>
        </w:p>
        <w:p w14:paraId="6E618DA1">
          <w:pPr>
            <w:pStyle w:val="11"/>
            <w:tabs>
              <w:tab w:val="right" w:leader="dot" w:pos="8296"/>
            </w:tabs>
          </w:pPr>
          <w:r>
            <w:fldChar w:fldCharType="begin"/>
          </w:r>
          <w:r>
            <w:instrText xml:space="preserve"> HYPERLINK \l "_Toc60900811" </w:instrText>
          </w:r>
          <w:r>
            <w:fldChar w:fldCharType="separate"/>
          </w:r>
          <w:r>
            <w:rPr>
              <w:rStyle w:val="18"/>
              <w:rFonts w:hint="eastAsia" w:ascii="楷体" w:hAnsi="楷体" w:eastAsia="楷体" w:cs="楷体"/>
              <w:bCs/>
              <w:kern w:val="0"/>
            </w:rPr>
            <w:t>第四节</w:t>
          </w:r>
          <w:r>
            <w:rPr>
              <w:rStyle w:val="18"/>
              <w:rFonts w:ascii="楷体" w:hAnsi="楷体" w:eastAsia="楷体" w:cs="楷体"/>
              <w:bCs/>
              <w:kern w:val="0"/>
            </w:rPr>
            <w:t xml:space="preserve">  </w:t>
          </w:r>
          <w:r>
            <w:rPr>
              <w:rStyle w:val="18"/>
              <w:rFonts w:hint="eastAsia" w:ascii="楷体" w:hAnsi="楷体" w:eastAsia="楷体" w:cs="楷体"/>
              <w:bCs/>
              <w:kern w:val="0"/>
            </w:rPr>
            <w:t>协同其他社会事业发展</w:t>
          </w:r>
          <w:r>
            <w:tab/>
          </w:r>
          <w:r>
            <w:fldChar w:fldCharType="begin"/>
          </w:r>
          <w:r>
            <w:instrText xml:space="preserve"> PAGEREF _Toc60900811 \h </w:instrText>
          </w:r>
          <w:r>
            <w:fldChar w:fldCharType="separate"/>
          </w:r>
          <w:r>
            <w:t>39</w:t>
          </w:r>
          <w:r>
            <w:fldChar w:fldCharType="end"/>
          </w:r>
          <w:r>
            <w:fldChar w:fldCharType="end"/>
          </w:r>
        </w:p>
        <w:p w14:paraId="12910F5A">
          <w:pPr>
            <w:pStyle w:val="10"/>
            <w:rPr>
              <w:rFonts w:asciiTheme="minorHAnsi" w:hAnsiTheme="minorHAnsi" w:eastAsiaTheme="minorEastAsia" w:cstheme="minorBidi"/>
              <w:b w:val="0"/>
              <w:bCs w:val="0"/>
              <w:sz w:val="21"/>
              <w:szCs w:val="22"/>
            </w:rPr>
          </w:pPr>
          <w:r>
            <w:fldChar w:fldCharType="begin"/>
          </w:r>
          <w:r>
            <w:instrText xml:space="preserve"> HYPERLINK \l "_Toc60900812" </w:instrText>
          </w:r>
          <w:r>
            <w:fldChar w:fldCharType="separate"/>
          </w:r>
          <w:r>
            <w:rPr>
              <w:rStyle w:val="18"/>
              <w:rFonts w:hint="eastAsia" w:cs="黑体"/>
              <w:b w:val="0"/>
              <w:kern w:val="0"/>
            </w:rPr>
            <w:t>第八章</w:t>
          </w:r>
          <w:r>
            <w:rPr>
              <w:rStyle w:val="18"/>
              <w:rFonts w:cs="黑体"/>
              <w:b w:val="0"/>
              <w:kern w:val="0"/>
            </w:rPr>
            <w:t xml:space="preserve">  </w:t>
          </w:r>
          <w:r>
            <w:rPr>
              <w:rStyle w:val="18"/>
              <w:rFonts w:hint="eastAsia" w:cs="黑体"/>
              <w:b w:val="0"/>
              <w:kern w:val="0"/>
            </w:rPr>
            <w:t>优化促进机制，保障各项工作有序推进</w:t>
          </w:r>
          <w:r>
            <w:rPr>
              <w:b w:val="0"/>
            </w:rPr>
            <w:tab/>
          </w:r>
          <w:r>
            <w:rPr>
              <w:b w:val="0"/>
            </w:rPr>
            <w:fldChar w:fldCharType="begin"/>
          </w:r>
          <w:r>
            <w:rPr>
              <w:b w:val="0"/>
            </w:rPr>
            <w:instrText xml:space="preserve"> PAGEREF _Toc60900812 \h </w:instrText>
          </w:r>
          <w:r>
            <w:rPr>
              <w:b w:val="0"/>
            </w:rPr>
            <w:fldChar w:fldCharType="separate"/>
          </w:r>
          <w:r>
            <w:rPr>
              <w:b w:val="0"/>
            </w:rPr>
            <w:t>42</w:t>
          </w:r>
          <w:r>
            <w:rPr>
              <w:b w:val="0"/>
            </w:rPr>
            <w:fldChar w:fldCharType="end"/>
          </w:r>
          <w:r>
            <w:rPr>
              <w:b w:val="0"/>
            </w:rPr>
            <w:fldChar w:fldCharType="end"/>
          </w:r>
        </w:p>
        <w:p w14:paraId="51036B2A">
          <w:pPr>
            <w:pStyle w:val="11"/>
            <w:tabs>
              <w:tab w:val="right" w:leader="dot" w:pos="8296"/>
            </w:tabs>
          </w:pPr>
          <w:r>
            <w:fldChar w:fldCharType="begin"/>
          </w:r>
          <w:r>
            <w:instrText xml:space="preserve"> HYPERLINK \l "_Toc60900814" </w:instrText>
          </w:r>
          <w:r>
            <w:fldChar w:fldCharType="separate"/>
          </w:r>
          <w:r>
            <w:rPr>
              <w:rStyle w:val="18"/>
              <w:rFonts w:hint="eastAsia" w:ascii="楷体" w:hAnsi="楷体" w:eastAsia="楷体" w:cs="楷体"/>
              <w:bCs/>
              <w:kern w:val="0"/>
            </w:rPr>
            <w:t>第一节</w:t>
          </w:r>
          <w:r>
            <w:rPr>
              <w:rStyle w:val="18"/>
              <w:rFonts w:ascii="楷体" w:hAnsi="楷体" w:eastAsia="楷体" w:cs="楷体"/>
              <w:bCs/>
              <w:kern w:val="0"/>
            </w:rPr>
            <w:t xml:space="preserve">  </w:t>
          </w:r>
          <w:r>
            <w:rPr>
              <w:rStyle w:val="18"/>
              <w:rFonts w:hint="eastAsia" w:ascii="楷体" w:hAnsi="楷体" w:eastAsia="楷体" w:cs="楷体"/>
              <w:bCs/>
              <w:kern w:val="0"/>
            </w:rPr>
            <w:t>坚持和加强党的领导</w:t>
          </w:r>
          <w:r>
            <w:tab/>
          </w:r>
          <w:r>
            <w:fldChar w:fldCharType="begin"/>
          </w:r>
          <w:r>
            <w:instrText xml:space="preserve"> PAGEREF _Toc60900814 \h </w:instrText>
          </w:r>
          <w:r>
            <w:fldChar w:fldCharType="separate"/>
          </w:r>
          <w:r>
            <w:t>42</w:t>
          </w:r>
          <w:r>
            <w:fldChar w:fldCharType="end"/>
          </w:r>
          <w:r>
            <w:fldChar w:fldCharType="end"/>
          </w:r>
        </w:p>
        <w:p w14:paraId="05185BBA">
          <w:pPr>
            <w:pStyle w:val="11"/>
            <w:tabs>
              <w:tab w:val="right" w:leader="dot" w:pos="8296"/>
            </w:tabs>
          </w:pPr>
          <w:r>
            <w:fldChar w:fldCharType="begin"/>
          </w:r>
          <w:r>
            <w:instrText xml:space="preserve"> HYPERLINK \l "_Toc60900815" </w:instrText>
          </w:r>
          <w:r>
            <w:fldChar w:fldCharType="separate"/>
          </w:r>
          <w:r>
            <w:rPr>
              <w:rStyle w:val="18"/>
              <w:rFonts w:hint="eastAsia" w:ascii="楷体" w:hAnsi="楷体" w:eastAsia="楷体" w:cs="楷体"/>
              <w:bCs/>
              <w:kern w:val="0"/>
            </w:rPr>
            <w:t>第二节</w:t>
          </w:r>
          <w:r>
            <w:rPr>
              <w:rStyle w:val="18"/>
              <w:rFonts w:ascii="楷体" w:hAnsi="楷体" w:eastAsia="楷体" w:cs="楷体"/>
              <w:bCs/>
              <w:kern w:val="0"/>
            </w:rPr>
            <w:t xml:space="preserve">  </w:t>
          </w:r>
          <w:r>
            <w:rPr>
              <w:rStyle w:val="18"/>
              <w:rFonts w:hint="eastAsia" w:ascii="楷体" w:hAnsi="楷体" w:eastAsia="楷体" w:cs="楷体"/>
              <w:bCs/>
              <w:kern w:val="0"/>
            </w:rPr>
            <w:t>加强干部队伍建设</w:t>
          </w:r>
          <w:r>
            <w:tab/>
          </w:r>
          <w:r>
            <w:fldChar w:fldCharType="begin"/>
          </w:r>
          <w:r>
            <w:instrText xml:space="preserve"> PAGEREF _Toc60900815 \h </w:instrText>
          </w:r>
          <w:r>
            <w:fldChar w:fldCharType="separate"/>
          </w:r>
          <w:r>
            <w:t>42</w:t>
          </w:r>
          <w:r>
            <w:fldChar w:fldCharType="end"/>
          </w:r>
          <w:r>
            <w:fldChar w:fldCharType="end"/>
          </w:r>
        </w:p>
        <w:p w14:paraId="18A57894">
          <w:pPr>
            <w:pStyle w:val="11"/>
            <w:tabs>
              <w:tab w:val="right" w:leader="dot" w:pos="8296"/>
            </w:tabs>
          </w:pPr>
          <w:r>
            <w:fldChar w:fldCharType="begin"/>
          </w:r>
          <w:r>
            <w:instrText xml:space="preserve"> HYPERLINK \l "_Toc60900816" </w:instrText>
          </w:r>
          <w:r>
            <w:fldChar w:fldCharType="separate"/>
          </w:r>
          <w:r>
            <w:rPr>
              <w:rStyle w:val="18"/>
              <w:rFonts w:hint="eastAsia" w:ascii="楷体" w:hAnsi="楷体" w:eastAsia="楷体" w:cs="楷体"/>
              <w:bCs/>
              <w:kern w:val="0"/>
            </w:rPr>
            <w:t>第三节</w:t>
          </w:r>
          <w:r>
            <w:rPr>
              <w:rStyle w:val="18"/>
              <w:rFonts w:ascii="楷体" w:hAnsi="楷体" w:eastAsia="楷体" w:cs="楷体"/>
              <w:bCs/>
              <w:kern w:val="0"/>
            </w:rPr>
            <w:t xml:space="preserve">  </w:t>
          </w:r>
          <w:r>
            <w:rPr>
              <w:rStyle w:val="18"/>
              <w:rFonts w:hint="eastAsia" w:ascii="楷体" w:hAnsi="楷体" w:eastAsia="楷体" w:cs="楷体"/>
              <w:bCs/>
              <w:kern w:val="0"/>
            </w:rPr>
            <w:t>防范化解重大风险</w:t>
          </w:r>
          <w:r>
            <w:tab/>
          </w:r>
          <w:r>
            <w:fldChar w:fldCharType="begin"/>
          </w:r>
          <w:r>
            <w:instrText xml:space="preserve"> PAGEREF _Toc60900816 \h </w:instrText>
          </w:r>
          <w:r>
            <w:fldChar w:fldCharType="separate"/>
          </w:r>
          <w:r>
            <w:t>43</w:t>
          </w:r>
          <w:r>
            <w:fldChar w:fldCharType="end"/>
          </w:r>
          <w:r>
            <w:fldChar w:fldCharType="end"/>
          </w:r>
        </w:p>
        <w:p w14:paraId="1C052E1E">
          <w:pPr>
            <w:pStyle w:val="11"/>
            <w:tabs>
              <w:tab w:val="right" w:leader="dot" w:pos="8296"/>
            </w:tabs>
          </w:pPr>
          <w:r>
            <w:fldChar w:fldCharType="begin"/>
          </w:r>
          <w:r>
            <w:instrText xml:space="preserve"> HYPERLINK \l "_Toc60900817" </w:instrText>
          </w:r>
          <w:r>
            <w:fldChar w:fldCharType="separate"/>
          </w:r>
          <w:r>
            <w:rPr>
              <w:rStyle w:val="18"/>
              <w:rFonts w:hint="eastAsia" w:ascii="楷体" w:hAnsi="楷体" w:eastAsia="楷体" w:cs="楷体"/>
              <w:bCs/>
              <w:kern w:val="0"/>
            </w:rPr>
            <w:t>第四节</w:t>
          </w:r>
          <w:r>
            <w:rPr>
              <w:rStyle w:val="18"/>
              <w:rFonts w:ascii="楷体" w:hAnsi="楷体" w:eastAsia="楷体" w:cs="楷体"/>
              <w:bCs/>
              <w:kern w:val="0"/>
            </w:rPr>
            <w:t xml:space="preserve">  </w:t>
          </w:r>
          <w:r>
            <w:rPr>
              <w:rStyle w:val="18"/>
              <w:rFonts w:hint="eastAsia" w:ascii="楷体" w:hAnsi="楷体" w:eastAsia="楷体" w:cs="楷体"/>
              <w:bCs/>
              <w:kern w:val="0"/>
            </w:rPr>
            <w:t>强化重大项目支撑</w:t>
          </w:r>
          <w:r>
            <w:tab/>
          </w:r>
          <w:r>
            <w:fldChar w:fldCharType="begin"/>
          </w:r>
          <w:r>
            <w:instrText xml:space="preserve"> PAGEREF _Toc60900817 \h </w:instrText>
          </w:r>
          <w:r>
            <w:fldChar w:fldCharType="separate"/>
          </w:r>
          <w:r>
            <w:t>43</w:t>
          </w:r>
          <w:r>
            <w:fldChar w:fldCharType="end"/>
          </w:r>
          <w:r>
            <w:fldChar w:fldCharType="end"/>
          </w:r>
        </w:p>
        <w:p w14:paraId="4C76CF8C">
          <w:pPr>
            <w:tabs>
              <w:tab w:val="left" w:pos="505"/>
            </w:tabs>
            <w:adjustRightInd w:val="0"/>
            <w:snapToGrid w:val="0"/>
            <w:spacing w:line="560" w:lineRule="exact"/>
            <w:jc w:val="center"/>
            <w:rPr>
              <w:rFonts w:ascii="黑体" w:hAnsi="黑体" w:eastAsia="黑体" w:cs="Times New Roman"/>
              <w:bCs/>
              <w:sz w:val="32"/>
              <w:szCs w:val="32"/>
            </w:rPr>
            <w:sectPr>
              <w:footerReference r:id="rId3" w:type="default"/>
              <w:pgSz w:w="11906" w:h="16838"/>
              <w:pgMar w:top="1440" w:right="1800" w:bottom="1440" w:left="1800" w:header="794" w:footer="992" w:gutter="0"/>
              <w:pgNumType w:start="1"/>
              <w:cols w:space="425" w:num="1"/>
              <w:docGrid w:type="lines" w:linePitch="312" w:charSpace="0"/>
            </w:sectPr>
          </w:pPr>
          <w:r>
            <w:rPr>
              <w:rFonts w:ascii="黑体" w:hAnsi="黑体" w:eastAsia="黑体" w:cs="Times New Roman"/>
              <w:bCs/>
              <w:szCs w:val="32"/>
            </w:rPr>
            <w:fldChar w:fldCharType="end"/>
          </w:r>
        </w:p>
      </w:sdtContent>
    </w:sdt>
    <w:p w14:paraId="4CC6940A">
      <w:pPr>
        <w:jc w:val="center"/>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禹会区国民经济和社会发展第十四个五年规划和</w:t>
      </w:r>
    </w:p>
    <w:p w14:paraId="3F609ED5">
      <w:pPr>
        <w:jc w:val="center"/>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二</w:t>
      </w:r>
      <w:r>
        <w:rPr>
          <w:rFonts w:hint="eastAsia" w:ascii="宋体" w:hAnsi="宋体" w:eastAsia="宋体" w:cs="宋体"/>
          <w:sz w:val="36"/>
          <w:szCs w:val="36"/>
        </w:rPr>
        <w:t>〇</w:t>
      </w:r>
      <w:r>
        <w:rPr>
          <w:rFonts w:hint="eastAsia" w:ascii="方正小标宋简体" w:hAnsi="方正小标宋简体" w:eastAsia="方正小标宋简体" w:cs="方正小标宋简体"/>
          <w:sz w:val="36"/>
          <w:szCs w:val="36"/>
        </w:rPr>
        <w:t>三五年远景目标纲要</w:t>
      </w:r>
    </w:p>
    <w:p w14:paraId="51605BE7">
      <w:pPr>
        <w:spacing w:line="560" w:lineRule="exact"/>
        <w:jc w:val="center"/>
        <w:rPr>
          <w:rFonts w:ascii="黑体" w:hAnsi="黑体" w:eastAsia="黑体" w:cs="Times New Roman"/>
          <w:sz w:val="32"/>
          <w:szCs w:val="32"/>
        </w:rPr>
      </w:pPr>
    </w:p>
    <w:p w14:paraId="5B6315A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四五”时期是我国全面建成小康社会、实现第一个百年奋斗目标之后，乘势而上开启全面建设社会主义现代化国家新征程、向第二个百年奋斗目标进军的第一个五年；是禹会推动高质量发展、构建新发展格局的关键时期。《禹会区国民经济和社会发展第十四个五年规划和二</w:t>
      </w:r>
      <w:r>
        <w:rPr>
          <w:rFonts w:hint="eastAsia" w:ascii="宋体" w:hAnsi="宋体" w:eastAsia="宋体" w:cs="宋体"/>
          <w:sz w:val="32"/>
          <w:szCs w:val="32"/>
        </w:rPr>
        <w:t>〇</w:t>
      </w:r>
      <w:r>
        <w:rPr>
          <w:rFonts w:hint="eastAsia" w:ascii="仿宋_GB2312" w:hAnsi="仿宋_GB2312" w:eastAsia="仿宋_GB2312" w:cs="仿宋_GB2312"/>
          <w:sz w:val="32"/>
          <w:szCs w:val="32"/>
        </w:rPr>
        <w:t>三五年远景目标纲要</w:t>
      </w:r>
      <w:r>
        <w:rPr>
          <w:rFonts w:hint="eastAsia" w:ascii="仿宋_GB2312" w:hAnsi="仿宋" w:eastAsia="仿宋_GB2312" w:cs="仿宋_GB2312"/>
          <w:sz w:val="32"/>
          <w:szCs w:val="32"/>
        </w:rPr>
        <w:t>》根据《中共禹会区委关于制定国民经济和社会发展第十四个五年规划和二〇三五年远景目标的建议》编制，是全区“十四五”时期贯彻党中央国务院、省委省政府和市委市政府决策部署的基本遵循和总体谋划，主要明确“十四五”时期禹会区经济社会发展指导思想、基本原则、发展目标，展望到二</w:t>
      </w:r>
      <w:r>
        <w:rPr>
          <w:rFonts w:hint="eastAsia" w:ascii="宋体" w:hAnsi="宋体" w:eastAsia="宋体" w:cs="宋体"/>
          <w:sz w:val="32"/>
          <w:szCs w:val="32"/>
        </w:rPr>
        <w:t>〇</w:t>
      </w:r>
      <w:r>
        <w:rPr>
          <w:rFonts w:hint="eastAsia" w:ascii="仿宋_GB2312" w:hAnsi="仿宋_GB2312" w:eastAsia="仿宋_GB2312" w:cs="仿宋_GB2312"/>
          <w:sz w:val="32"/>
          <w:szCs w:val="32"/>
        </w:rPr>
        <w:t>三五年远景目标，谋划重大战略，部署重大任务，确定政府工作重点，</w:t>
      </w:r>
      <w:r>
        <w:rPr>
          <w:rFonts w:hint="eastAsia" w:ascii="仿宋_GB2312" w:hAnsi="仿宋" w:eastAsia="仿宋_GB2312" w:cs="仿宋_GB2312"/>
          <w:sz w:val="32"/>
          <w:szCs w:val="32"/>
        </w:rPr>
        <w:t>是体现禹会特点、符合禹会实际、回应人民期盼、引领经济社会高质量发展的行动纲领和科学指南。</w:t>
      </w:r>
      <w:r>
        <w:rPr>
          <w:rFonts w:hint="eastAsia" w:ascii="仿宋_GB2312" w:hAnsi="仿宋_GB2312" w:eastAsia="仿宋_GB2312" w:cs="仿宋_GB2312"/>
          <w:sz w:val="32"/>
          <w:szCs w:val="32"/>
        </w:rPr>
        <w:t>区</w:t>
      </w:r>
      <w:r>
        <w:rPr>
          <w:rFonts w:hint="eastAsia" w:ascii="仿宋_GB2312" w:hAnsi="仿宋" w:eastAsia="仿宋_GB2312" w:cs="仿宋_GB2312"/>
          <w:sz w:val="32"/>
          <w:szCs w:val="32"/>
        </w:rPr>
        <w:t>政府将通过制定实施专项规划、区域规划和年度计划，综合运用经济、法律和行政手段，动员组织全社会力量，努力完成“十四五”规划目标任务。</w:t>
      </w:r>
    </w:p>
    <w:p w14:paraId="035AA3AA">
      <w:pPr>
        <w:tabs>
          <w:tab w:val="left" w:pos="505"/>
        </w:tabs>
        <w:adjustRightInd w:val="0"/>
        <w:snapToGrid w:val="0"/>
        <w:spacing w:line="560" w:lineRule="exact"/>
        <w:jc w:val="center"/>
        <w:outlineLvl w:val="0"/>
        <w:rPr>
          <w:rFonts w:ascii="黑体" w:hAnsi="黑体" w:eastAsia="黑体" w:cs="Times New Roman"/>
          <w:bCs/>
          <w:sz w:val="32"/>
          <w:szCs w:val="32"/>
        </w:rPr>
      </w:pPr>
    </w:p>
    <w:p w14:paraId="6FB57A7C">
      <w:pPr>
        <w:tabs>
          <w:tab w:val="left" w:pos="505"/>
        </w:tabs>
        <w:adjustRightInd w:val="0"/>
        <w:snapToGrid w:val="0"/>
        <w:spacing w:line="560" w:lineRule="exact"/>
        <w:jc w:val="center"/>
        <w:outlineLvl w:val="0"/>
        <w:rPr>
          <w:rFonts w:ascii="黑体" w:hAnsi="黑体" w:eastAsia="黑体" w:cs="Times New Roman"/>
          <w:bCs/>
          <w:sz w:val="32"/>
          <w:szCs w:val="32"/>
        </w:rPr>
      </w:pPr>
      <w:bookmarkStart w:id="0" w:name="_Toc60900778"/>
      <w:r>
        <w:rPr>
          <w:rFonts w:hint="eastAsia" w:ascii="黑体" w:hAnsi="黑体" w:eastAsia="黑体" w:cs="Times New Roman"/>
          <w:bCs/>
          <w:sz w:val="32"/>
          <w:szCs w:val="32"/>
        </w:rPr>
        <w:t>第一章  现实基础与发展环境</w:t>
      </w:r>
      <w:bookmarkEnd w:id="0"/>
    </w:p>
    <w:p w14:paraId="1FB2F5E2">
      <w:pPr>
        <w:adjustRightInd w:val="0"/>
        <w:snapToGrid w:val="0"/>
        <w:spacing w:line="560" w:lineRule="exact"/>
        <w:jc w:val="center"/>
        <w:outlineLvl w:val="1"/>
        <w:rPr>
          <w:rFonts w:ascii="楷体" w:hAnsi="楷体" w:eastAsia="楷体" w:cs="楷体"/>
          <w:b/>
          <w:sz w:val="32"/>
          <w:szCs w:val="32"/>
        </w:rPr>
      </w:pPr>
    </w:p>
    <w:p w14:paraId="104091F6">
      <w:pPr>
        <w:adjustRightInd w:val="0"/>
        <w:snapToGrid w:val="0"/>
        <w:spacing w:line="560" w:lineRule="exact"/>
        <w:jc w:val="center"/>
        <w:outlineLvl w:val="1"/>
        <w:rPr>
          <w:rFonts w:ascii="楷体" w:hAnsi="楷体" w:eastAsia="楷体" w:cs="楷体"/>
          <w:b/>
          <w:sz w:val="32"/>
          <w:szCs w:val="32"/>
        </w:rPr>
      </w:pPr>
      <w:bookmarkStart w:id="1" w:name="_Toc60900779"/>
      <w:r>
        <w:rPr>
          <w:rFonts w:hint="eastAsia" w:ascii="楷体" w:hAnsi="楷体" w:eastAsia="楷体" w:cs="楷体"/>
          <w:b/>
          <w:sz w:val="32"/>
          <w:szCs w:val="32"/>
        </w:rPr>
        <w:t>第一节  现实基础</w:t>
      </w:r>
      <w:bookmarkEnd w:id="1"/>
    </w:p>
    <w:p w14:paraId="26DFB495">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 “十三五”时期，区委、区政府坚持以习近平新时代中国特色社会主义思想为指导，坚持新发展理念，坚定不移推进改革开放，</w:t>
      </w:r>
      <w:r>
        <w:rPr>
          <w:rFonts w:ascii="仿宋_GB2312" w:hAnsi="仿宋" w:eastAsia="仿宋_GB2312" w:cs="仿宋_GB2312"/>
          <w:sz w:val="32"/>
          <w:szCs w:val="32"/>
        </w:rPr>
        <w:t>聚焦动能转换，明晰产业定位</w:t>
      </w:r>
      <w:r>
        <w:rPr>
          <w:rFonts w:hint="eastAsia" w:ascii="仿宋_GB2312" w:hAnsi="仿宋" w:eastAsia="仿宋_GB2312" w:cs="仿宋_GB2312"/>
          <w:sz w:val="32"/>
          <w:szCs w:val="32"/>
        </w:rPr>
        <w:t>，加速标准化产业园区建设，沉着应对各种风险挑战。探索征迁安置工作“先建后拆”,着力解决群众关心的热点问题，扎实做好稳增长、促改革、调结构、惠民生、防风险、保稳定各项工作。特别是2020年，我们</w:t>
      </w:r>
      <w:r>
        <w:rPr>
          <w:rFonts w:hint="eastAsia" w:ascii="宋体" w:hAnsi="宋体" w:eastAsia="宋体" w:cs="宋体"/>
          <w:sz w:val="32"/>
          <w:szCs w:val="32"/>
        </w:rPr>
        <w:t>勠</w:t>
      </w:r>
      <w:r>
        <w:rPr>
          <w:rFonts w:hint="eastAsia" w:ascii="仿宋_GB2312" w:hAnsi="仿宋_GB2312" w:eastAsia="仿宋_GB2312" w:cs="仿宋_GB2312"/>
          <w:sz w:val="32"/>
          <w:szCs w:val="32"/>
        </w:rPr>
        <w:t>力同心、众志成城，科学做好新冠肺炎疫情防控、</w:t>
      </w:r>
      <w:r>
        <w:rPr>
          <w:rFonts w:hint="eastAsia" w:ascii="仿宋_GB2312" w:hAnsi="仿宋" w:eastAsia="仿宋_GB2312" w:cs="仿宋_GB2312"/>
          <w:sz w:val="32"/>
          <w:szCs w:val="32"/>
        </w:rPr>
        <w:t>扎实做好防汛救灾，统筹经济社会发展大局，做好“六稳”工作，落实“六保”任务，变压力为动力，攻坚克难、真抓实干，</w:t>
      </w:r>
      <w:r>
        <w:rPr>
          <w:rFonts w:hint="eastAsia" w:ascii="仿宋_GB2312" w:hAnsi="仿宋" w:eastAsia="仿宋_GB2312" w:cs="仿宋_GB2312"/>
          <w:color w:val="000000"/>
          <w:sz w:val="32"/>
          <w:szCs w:val="32"/>
        </w:rPr>
        <w:t>全力推动项目建设，全区经济社会</w:t>
      </w:r>
      <w:r>
        <w:rPr>
          <w:rFonts w:hint="eastAsia" w:ascii="仿宋_GB2312" w:hAnsi="仿宋" w:eastAsia="仿宋_GB2312" w:cs="仿宋_GB2312"/>
          <w:sz w:val="32"/>
          <w:szCs w:val="32"/>
        </w:rPr>
        <w:t>迈上高质量发展的新台阶。</w:t>
      </w:r>
    </w:p>
    <w:p w14:paraId="4C6CC1FA">
      <w:pPr>
        <w:autoSpaceDE w:val="0"/>
        <w:autoSpaceDN w:val="0"/>
        <w:adjustRightInd w:val="0"/>
        <w:snapToGrid w:val="0"/>
        <w:spacing w:line="560" w:lineRule="exact"/>
        <w:ind w:firstLine="640" w:firstLineChars="200"/>
        <w:outlineLvl w:val="2"/>
        <w:rPr>
          <w:rFonts w:ascii="楷体" w:hAnsi="楷体" w:eastAsia="楷体" w:cs="仿宋"/>
          <w:bCs/>
          <w:kern w:val="0"/>
          <w:sz w:val="32"/>
          <w:szCs w:val="32"/>
        </w:rPr>
      </w:pPr>
      <w:bookmarkStart w:id="2" w:name="_Toc26188"/>
      <w:bookmarkStart w:id="3" w:name="_Toc58081128"/>
      <w:bookmarkStart w:id="4" w:name="_Toc50278152"/>
      <w:r>
        <w:rPr>
          <w:rFonts w:hint="eastAsia" w:ascii="楷体" w:hAnsi="楷体" w:eastAsia="楷体" w:cs="仿宋"/>
          <w:bCs/>
          <w:kern w:val="0"/>
          <w:sz w:val="32"/>
          <w:szCs w:val="32"/>
        </w:rPr>
        <w:t>（一）历经五年的日积月累，综合实力显著增强</w:t>
      </w:r>
      <w:bookmarkEnd w:id="2"/>
      <w:bookmarkEnd w:id="3"/>
      <w:bookmarkEnd w:id="4"/>
    </w:p>
    <w:p w14:paraId="4A03D770">
      <w:pPr>
        <w:adjustRightInd w:val="0"/>
        <w:snapToGrid w:val="0"/>
        <w:spacing w:line="560" w:lineRule="exact"/>
        <w:ind w:firstLine="643" w:firstLineChars="200"/>
        <w:jc w:val="left"/>
        <w:rPr>
          <w:rFonts w:ascii="仿宋_GB2312" w:hAnsi="仿宋" w:eastAsia="仿宋_GB2312" w:cs="仿宋"/>
          <w:color w:val="FF0000"/>
          <w:kern w:val="0"/>
          <w:sz w:val="32"/>
          <w:szCs w:val="32"/>
        </w:rPr>
      </w:pPr>
      <w:r>
        <w:rPr>
          <w:rFonts w:hint="eastAsia" w:ascii="仿宋_GB2312" w:hAnsi="仿宋" w:eastAsia="仿宋_GB2312" w:cs="仿宋"/>
          <w:b/>
          <w:kern w:val="0"/>
          <w:sz w:val="32"/>
          <w:szCs w:val="32"/>
        </w:rPr>
        <w:t>平台承载能力增强。</w:t>
      </w:r>
      <w:r>
        <w:rPr>
          <w:rFonts w:hint="eastAsia" w:ascii="仿宋_GB2312" w:hAnsi="仿宋" w:eastAsia="仿宋_GB2312" w:cs="仿宋"/>
          <w:kern w:val="0"/>
          <w:sz w:val="32"/>
          <w:szCs w:val="32"/>
        </w:rPr>
        <w:t>集中精力抓产业承载平台建设，建成国家新型工业化产业示范基地电子信息产业园16.8万平方米标准化厂房，承接长三角、珠三角产业转移落地。设立长三角（上海虹桥）、粤港澳大湾区（深圳前海）两个“双城孵化”中心，对接高质量项目60余个。</w:t>
      </w:r>
      <w:r>
        <w:rPr>
          <w:rFonts w:hint="eastAsia" w:ascii="仿宋_GB2312" w:eastAsia="仿宋_GB2312"/>
          <w:sz w:val="32"/>
          <w:szCs w:val="32"/>
        </w:rPr>
        <w:t>九州云箭点火试车，尚能风电并网发电，中科大禹建成投产，</w:t>
      </w:r>
      <w:r>
        <w:rPr>
          <w:rFonts w:hint="eastAsia" w:ascii="仿宋_GB2312" w:hAnsi="仿宋" w:eastAsia="仿宋_GB2312" w:cs="仿宋"/>
          <w:kern w:val="0"/>
          <w:sz w:val="32"/>
          <w:szCs w:val="32"/>
        </w:rPr>
        <w:t>有效地推动了全区的产业重构。推行“7×24小时”政务服务不打烊，构建“一照通”行政许可新模式，服务实体经济发展，禹投集团参股“安徽和壮”等</w:t>
      </w:r>
      <w:r>
        <w:rPr>
          <w:rStyle w:val="35"/>
          <w:rFonts w:ascii="仿宋_GB2312" w:hAnsi="宋体" w:eastAsia="仿宋_GB2312"/>
          <w:color w:val="000000"/>
          <w:sz w:val="31"/>
          <w:szCs w:val="31"/>
        </w:rPr>
        <w:t>6支基金，</w:t>
      </w:r>
      <w:r>
        <w:rPr>
          <w:rFonts w:hint="eastAsia" w:ascii="仿宋_GB2312" w:hAnsi="仿宋" w:eastAsia="仿宋_GB2312" w:cs="仿宋"/>
          <w:kern w:val="0"/>
          <w:sz w:val="32"/>
          <w:szCs w:val="32"/>
        </w:rPr>
        <w:t>推动怡亚通等供应链金融服务企业健康发展。</w:t>
      </w:r>
    </w:p>
    <w:p w14:paraId="05E839F4">
      <w:pPr>
        <w:adjustRightInd w:val="0"/>
        <w:snapToGrid w:val="0"/>
        <w:spacing w:line="560" w:lineRule="exact"/>
        <w:ind w:firstLine="643" w:firstLineChars="200"/>
        <w:jc w:val="left"/>
        <w:rPr>
          <w:rStyle w:val="35"/>
          <w:rFonts w:ascii="仿宋_GB2312" w:hAnsi="宋体" w:eastAsia="仿宋_GB2312"/>
          <w:color w:val="000000"/>
          <w:sz w:val="31"/>
          <w:szCs w:val="31"/>
        </w:rPr>
      </w:pPr>
      <w:r>
        <w:rPr>
          <w:rFonts w:hint="eastAsia" w:ascii="仿宋_GB2312" w:hAnsi="仿宋" w:eastAsia="仿宋_GB2312" w:cs="仿宋"/>
          <w:b/>
          <w:kern w:val="0"/>
          <w:sz w:val="32"/>
          <w:szCs w:val="32"/>
        </w:rPr>
        <w:t>招商引资成果丰硕。</w:t>
      </w:r>
      <w:r>
        <w:rPr>
          <w:rFonts w:hint="eastAsia" w:ascii="仿宋_GB2312" w:hAnsi="仿宋" w:eastAsia="仿宋_GB2312" w:cs="仿宋"/>
          <w:kern w:val="0"/>
          <w:sz w:val="32"/>
          <w:szCs w:val="32"/>
        </w:rPr>
        <w:t>坚持</w:t>
      </w:r>
      <w:r>
        <w:rPr>
          <w:rFonts w:ascii="仿宋_GB2312" w:hAnsi="仿宋" w:eastAsia="仿宋_GB2312" w:cs="仿宋"/>
          <w:kern w:val="0"/>
          <w:sz w:val="32"/>
          <w:szCs w:val="32"/>
        </w:rPr>
        <w:t>把招商引资作为发展</w:t>
      </w:r>
      <w:r>
        <w:rPr>
          <w:rFonts w:hint="eastAsia" w:ascii="仿宋_GB2312" w:hAnsi="仿宋" w:eastAsia="仿宋_GB2312" w:cs="仿宋"/>
          <w:kern w:val="0"/>
          <w:sz w:val="32"/>
          <w:szCs w:val="32"/>
        </w:rPr>
        <w:t>工业强区</w:t>
      </w:r>
      <w:r>
        <w:rPr>
          <w:rFonts w:ascii="仿宋_GB2312" w:hAnsi="仿宋" w:eastAsia="仿宋_GB2312" w:cs="仿宋"/>
          <w:kern w:val="0"/>
          <w:sz w:val="32"/>
          <w:szCs w:val="32"/>
        </w:rPr>
        <w:t>的</w:t>
      </w:r>
      <w:r>
        <w:rPr>
          <w:rFonts w:hint="eastAsia" w:ascii="仿宋_GB2312" w:hAnsi="仿宋" w:eastAsia="仿宋_GB2312" w:cs="仿宋"/>
          <w:kern w:val="0"/>
          <w:sz w:val="32"/>
          <w:szCs w:val="32"/>
        </w:rPr>
        <w:t>“</w:t>
      </w:r>
      <w:r>
        <w:rPr>
          <w:rFonts w:ascii="仿宋_GB2312" w:hAnsi="仿宋" w:eastAsia="仿宋_GB2312" w:cs="仿宋"/>
          <w:kern w:val="0"/>
          <w:sz w:val="32"/>
          <w:szCs w:val="32"/>
        </w:rPr>
        <w:t>一号工地</w:t>
      </w:r>
      <w:r>
        <w:rPr>
          <w:rFonts w:hint="eastAsia" w:ascii="仿宋_GB2312" w:hAnsi="仿宋" w:eastAsia="仿宋_GB2312" w:cs="仿宋"/>
          <w:kern w:val="0"/>
          <w:sz w:val="32"/>
          <w:szCs w:val="32"/>
        </w:rPr>
        <w:t>”，紧紧围绕延链、补链、强链进行精准招商、重点招商，服务龙头企业上下游产业集聚。优化“以商招商”扩大企业家的朋友圈、延伸项目的产业链。探索“基地+基金”模式，助力企业轻资产运营。2020年，新签约亿元以上项目37个，总投资133.1亿元，其中工业项目30个，总投资124.6亿元。围绕创新链共享、供应链协同、产业链集聚的高质量发展格局正在形成。</w:t>
      </w:r>
    </w:p>
    <w:p w14:paraId="3C217116">
      <w:pPr>
        <w:adjustRightInd w:val="0"/>
        <w:snapToGrid w:val="0"/>
        <w:spacing w:line="560" w:lineRule="exact"/>
        <w:ind w:firstLine="643" w:firstLineChars="200"/>
        <w:jc w:val="left"/>
        <w:rPr>
          <w:rFonts w:ascii="仿宋_GB2312" w:hAnsi="仿宋" w:eastAsia="仿宋_GB2312" w:cs="仿宋"/>
          <w:color w:val="FF0000"/>
          <w:kern w:val="0"/>
          <w:sz w:val="32"/>
          <w:szCs w:val="32"/>
        </w:rPr>
      </w:pPr>
      <w:r>
        <w:rPr>
          <w:rFonts w:hint="eastAsia" w:ascii="仿宋_GB2312" w:hAnsi="仿宋" w:eastAsia="仿宋_GB2312" w:cs="仿宋"/>
          <w:b/>
          <w:kern w:val="0"/>
          <w:sz w:val="32"/>
          <w:szCs w:val="32"/>
        </w:rPr>
        <w:t>综合实力稳步提升。</w:t>
      </w:r>
      <w:r>
        <w:rPr>
          <w:rFonts w:hint="eastAsia" w:ascii="仿宋_GB2312" w:hAnsi="仿宋" w:eastAsia="仿宋_GB2312" w:cs="仿宋"/>
          <w:kern w:val="0"/>
          <w:sz w:val="32"/>
          <w:szCs w:val="32"/>
        </w:rPr>
        <w:t>2020年，全区地区生产总值达</w:t>
      </w:r>
      <w:r>
        <w:rPr>
          <w:rFonts w:hint="eastAsia" w:ascii="仿宋_GB2312" w:hAnsi="仿宋" w:eastAsia="仿宋_GB2312" w:cs="TimesNewRomanPSMT"/>
          <w:kern w:val="0"/>
          <w:sz w:val="32"/>
          <w:szCs w:val="32"/>
        </w:rPr>
        <w:t>226</w:t>
      </w:r>
      <w:r>
        <w:rPr>
          <w:rFonts w:hint="eastAsia" w:ascii="仿宋_GB2312" w:hAnsi="仿宋" w:eastAsia="仿宋_GB2312" w:cs="仿宋"/>
          <w:kern w:val="0"/>
          <w:sz w:val="32"/>
          <w:szCs w:val="32"/>
        </w:rPr>
        <w:t>亿元，总量居市辖区第一；完成财政收入18.65亿元；</w:t>
      </w:r>
      <w:r>
        <w:rPr>
          <w:rFonts w:hint="eastAsia" w:ascii="仿宋_GB2312" w:hAnsi="仿宋" w:eastAsia="仿宋_GB2312" w:cs="仿宋"/>
          <w:sz w:val="32"/>
          <w:szCs w:val="32"/>
        </w:rPr>
        <w:t>服务业增加值</w:t>
      </w:r>
      <w:r>
        <w:rPr>
          <w:rFonts w:hint="eastAsia" w:ascii="仿宋_GB2312" w:hAnsi="仿宋" w:eastAsia="仿宋_GB2312" w:cs="仿宋_GB2312"/>
          <w:sz w:val="32"/>
          <w:szCs w:val="32"/>
        </w:rPr>
        <w:t>超过102亿元；</w:t>
      </w:r>
      <w:r>
        <w:rPr>
          <w:rFonts w:hint="eastAsia" w:ascii="仿宋_GB2312" w:hAnsi="仿宋" w:eastAsia="仿宋_GB2312" w:cs="仿宋"/>
          <w:kern w:val="0"/>
          <w:sz w:val="32"/>
          <w:szCs w:val="32"/>
        </w:rPr>
        <w:t>社会消费品零售总额增加至</w:t>
      </w:r>
      <w:r>
        <w:rPr>
          <w:rFonts w:hint="eastAsia" w:ascii="仿宋_GB2312" w:hAnsi="仿宋" w:eastAsia="仿宋_GB2312" w:cs="Times New Roman"/>
          <w:sz w:val="32"/>
          <w:szCs w:val="32"/>
        </w:rPr>
        <w:t>50</w:t>
      </w:r>
      <w:r>
        <w:rPr>
          <w:rFonts w:hint="eastAsia" w:ascii="仿宋_GB2312" w:hAnsi="仿宋" w:eastAsia="仿宋_GB2312" w:cs="仿宋"/>
          <w:kern w:val="0"/>
          <w:sz w:val="32"/>
          <w:szCs w:val="32"/>
        </w:rPr>
        <w:t>亿元；实际利用外资达8000万美元，进出口总额8.2亿美元，全市第一；城乡居民人均可支配收入分别为39178元和16883元；城镇登记失业率始终控制在4%以内。在退市进园企业产能转移加速推进的形势下，仍获评“ 国家新型工业化产业示范基地 ”，两次被省政府评为”稳增长促转型成效明显县区“，多次荣获省制造业“十强区”、“十快区”</w:t>
      </w:r>
      <w:r>
        <w:rPr>
          <w:rFonts w:hint="eastAsia" w:ascii="仿宋_GB2312" w:hAnsi="仿宋" w:eastAsia="仿宋_GB2312" w:cs="仿宋_GB2312"/>
          <w:sz w:val="32"/>
          <w:szCs w:val="32"/>
        </w:rPr>
        <w:t>，</w:t>
      </w:r>
      <w:r>
        <w:rPr>
          <w:rFonts w:hint="eastAsia" w:ascii="仿宋_GB2312" w:hAnsi="仿宋" w:eastAsia="仿宋_GB2312" w:cs="仿宋"/>
          <w:kern w:val="0"/>
          <w:sz w:val="32"/>
          <w:szCs w:val="32"/>
        </w:rPr>
        <w:t>实现了全区经济社会发展逆势上扬，“十三五”圆满收官。</w:t>
      </w:r>
    </w:p>
    <w:p w14:paraId="5579251B">
      <w:pPr>
        <w:autoSpaceDE w:val="0"/>
        <w:autoSpaceDN w:val="0"/>
        <w:adjustRightInd w:val="0"/>
        <w:snapToGrid w:val="0"/>
        <w:spacing w:line="560" w:lineRule="exact"/>
        <w:ind w:firstLine="640" w:firstLineChars="200"/>
        <w:outlineLvl w:val="2"/>
        <w:rPr>
          <w:rFonts w:ascii="楷体" w:hAnsi="楷体" w:eastAsia="楷体" w:cs="仿宋"/>
          <w:bCs/>
          <w:kern w:val="0"/>
          <w:sz w:val="32"/>
          <w:szCs w:val="32"/>
        </w:rPr>
      </w:pPr>
      <w:bookmarkStart w:id="5" w:name="_Toc3088"/>
      <w:bookmarkStart w:id="6" w:name="_Toc58081129"/>
      <w:r>
        <w:rPr>
          <w:rFonts w:hint="eastAsia" w:ascii="楷体" w:hAnsi="楷体" w:eastAsia="楷体" w:cs="仿宋"/>
          <w:bCs/>
          <w:kern w:val="0"/>
          <w:sz w:val="32"/>
          <w:szCs w:val="32"/>
        </w:rPr>
        <w:t>（二）历经五年的孜孜不倦，产业结构持续优化</w:t>
      </w:r>
      <w:bookmarkEnd w:id="5"/>
      <w:bookmarkEnd w:id="6"/>
    </w:p>
    <w:p w14:paraId="53680E87">
      <w:pPr>
        <w:pStyle w:val="29"/>
        <w:ind w:firstLine="643"/>
        <w:rPr>
          <w:rFonts w:cs="仿宋_GB2312"/>
          <w:sz w:val="32"/>
          <w:szCs w:val="32"/>
        </w:rPr>
      </w:pPr>
      <w:r>
        <w:rPr>
          <w:rFonts w:hint="eastAsia" w:cs="仿宋"/>
          <w:b/>
          <w:kern w:val="0"/>
          <w:sz w:val="32"/>
          <w:szCs w:val="32"/>
        </w:rPr>
        <w:t>发展质量明显提高。</w:t>
      </w:r>
      <w:r>
        <w:rPr>
          <w:rFonts w:hint="eastAsia" w:cs="仿宋_GB2312"/>
          <w:sz w:val="32"/>
          <w:szCs w:val="32"/>
        </w:rPr>
        <w:t>玻璃设计院</w:t>
      </w:r>
      <w:r>
        <w:rPr>
          <w:color w:val="000000"/>
          <w:sz w:val="32"/>
          <w:szCs w:val="32"/>
        </w:rPr>
        <w:t>超薄玻璃连续刷新世界纪录，</w:t>
      </w:r>
      <w:r>
        <w:rPr>
          <w:rFonts w:hint="eastAsia" w:cs="仿宋_GB2312"/>
          <w:sz w:val="32"/>
          <w:szCs w:val="32"/>
        </w:rPr>
        <w:t>先后荣获中国工业大奖、全国制造业单项冠军等荣誉称号，柔性可折叠玻璃创造了中国第一，彭寿成功当选中国工程院院士。丰原集团打通聚乳酸全产业链，</w:t>
      </w:r>
      <w:r>
        <w:rPr>
          <w:color w:val="000000"/>
          <w:sz w:val="32"/>
          <w:szCs w:val="32"/>
        </w:rPr>
        <w:t>获批全国首批先进制造业和现代服务业融合发展试</w:t>
      </w:r>
      <w:r>
        <w:rPr>
          <w:sz w:val="32"/>
          <w:szCs w:val="32"/>
        </w:rPr>
        <w:t>点企业</w:t>
      </w:r>
      <w:r>
        <w:rPr>
          <w:rFonts w:hint="eastAsia"/>
          <w:sz w:val="32"/>
          <w:szCs w:val="32"/>
        </w:rPr>
        <w:t>，</w:t>
      </w:r>
      <w:r>
        <w:rPr>
          <w:sz w:val="32"/>
          <w:szCs w:val="32"/>
        </w:rPr>
        <w:t>跻身全国农产品加工</w:t>
      </w:r>
      <w:r>
        <w:rPr>
          <w:rFonts w:hint="eastAsia"/>
          <w:sz w:val="32"/>
          <w:szCs w:val="32"/>
        </w:rPr>
        <w:t>1</w:t>
      </w:r>
      <w:r>
        <w:rPr>
          <w:sz w:val="32"/>
          <w:szCs w:val="32"/>
        </w:rPr>
        <w:t>00强。</w:t>
      </w:r>
      <w:r>
        <w:rPr>
          <w:rFonts w:hint="eastAsia"/>
          <w:sz w:val="32"/>
          <w:szCs w:val="32"/>
        </w:rPr>
        <w:t>中粮科技国家级企业技术中心创新能力持续提升，燃料乙醇产量全国第一；佳先股份成为全国首批、安徽首家进入新三板精选层企业，为全市企业近17年来首次获批公开发行股票的企业，获批国家绿色工厂；通达汽车、创业机电等7家企业在“专精特新板”挂牌；</w:t>
      </w:r>
      <w:r>
        <w:rPr>
          <w:sz w:val="32"/>
          <w:szCs w:val="32"/>
        </w:rPr>
        <w:t>中实化学、奥特机械等</w:t>
      </w:r>
      <w:r>
        <w:rPr>
          <w:rFonts w:hint="eastAsia"/>
          <w:sz w:val="32"/>
          <w:szCs w:val="32"/>
        </w:rPr>
        <w:t>20</w:t>
      </w:r>
      <w:r>
        <w:rPr>
          <w:sz w:val="32"/>
          <w:szCs w:val="32"/>
        </w:rPr>
        <w:t>家</w:t>
      </w:r>
      <w:r>
        <w:rPr>
          <w:rFonts w:hint="eastAsia"/>
          <w:sz w:val="32"/>
          <w:szCs w:val="32"/>
        </w:rPr>
        <w:t>企业在</w:t>
      </w:r>
      <w:r>
        <w:rPr>
          <w:sz w:val="32"/>
          <w:szCs w:val="32"/>
        </w:rPr>
        <w:t>省</w:t>
      </w:r>
      <w:r>
        <w:rPr>
          <w:rFonts w:hint="eastAsia"/>
          <w:sz w:val="32"/>
          <w:szCs w:val="32"/>
        </w:rPr>
        <w:t>“</w:t>
      </w:r>
      <w:r>
        <w:rPr>
          <w:sz w:val="32"/>
          <w:szCs w:val="32"/>
        </w:rPr>
        <w:t>科创板</w:t>
      </w:r>
      <w:r>
        <w:rPr>
          <w:rFonts w:hint="eastAsia"/>
          <w:sz w:val="32"/>
          <w:szCs w:val="32"/>
        </w:rPr>
        <w:t>”</w:t>
      </w:r>
      <w:r>
        <w:rPr>
          <w:sz w:val="32"/>
          <w:szCs w:val="32"/>
        </w:rPr>
        <w:t>挂牌</w:t>
      </w:r>
      <w:r>
        <w:rPr>
          <w:rFonts w:hint="eastAsia"/>
          <w:sz w:val="32"/>
          <w:szCs w:val="32"/>
        </w:rPr>
        <w:t>。</w:t>
      </w:r>
      <w:r>
        <w:rPr>
          <w:sz w:val="32"/>
          <w:szCs w:val="32"/>
        </w:rPr>
        <w:t>众多的</w:t>
      </w:r>
      <w:r>
        <w:rPr>
          <w:rFonts w:hint="eastAsia"/>
          <w:sz w:val="32"/>
          <w:szCs w:val="32"/>
        </w:rPr>
        <w:t>国家级研发中心、</w:t>
      </w:r>
      <w:r>
        <w:rPr>
          <w:rFonts w:hint="eastAsia" w:cs="仿宋_GB2312"/>
          <w:sz w:val="32"/>
          <w:szCs w:val="32"/>
        </w:rPr>
        <w:t>院士工作站、博士后工作站，成为创新发展的新动力。</w:t>
      </w:r>
    </w:p>
    <w:p w14:paraId="29BBC104">
      <w:pPr>
        <w:autoSpaceDE w:val="0"/>
        <w:autoSpaceDN w:val="0"/>
        <w:adjustRightInd w:val="0"/>
        <w:snapToGrid w:val="0"/>
        <w:spacing w:line="560" w:lineRule="exact"/>
        <w:ind w:firstLine="643" w:firstLineChars="200"/>
        <w:jc w:val="left"/>
        <w:rPr>
          <w:rFonts w:ascii="仿宋_GB2312" w:hAnsi="仿宋" w:eastAsia="仿宋_GB2312" w:cs="仿宋"/>
          <w:kern w:val="0"/>
          <w:sz w:val="32"/>
          <w:szCs w:val="32"/>
        </w:rPr>
      </w:pPr>
      <w:bookmarkStart w:id="7" w:name="_Toc18202"/>
      <w:bookmarkStart w:id="8" w:name="_Toc14646"/>
      <w:bookmarkStart w:id="9" w:name="_Toc58081130"/>
      <w:r>
        <w:rPr>
          <w:rFonts w:hint="eastAsia" w:ascii="仿宋_GB2312" w:hAnsi="仿宋" w:eastAsia="仿宋_GB2312" w:cs="仿宋"/>
          <w:b/>
          <w:kern w:val="0"/>
          <w:sz w:val="32"/>
          <w:szCs w:val="32"/>
        </w:rPr>
        <w:t>新兴产业加速集聚。</w:t>
      </w:r>
      <w:r>
        <w:rPr>
          <w:rFonts w:hint="eastAsia" w:ascii="仿宋_GB2312" w:hAnsi="仿宋" w:eastAsia="仿宋_GB2312" w:cs="仿宋_GB2312"/>
          <w:sz w:val="32"/>
          <w:szCs w:val="32"/>
        </w:rPr>
        <w:t>坚持工业强区战略不动摇，</w:t>
      </w:r>
      <w:r>
        <w:rPr>
          <w:rFonts w:ascii="仿宋_GB2312" w:hAnsi="仿宋" w:eastAsia="仿宋_GB2312" w:cs="仿宋_GB2312"/>
          <w:sz w:val="32"/>
          <w:szCs w:val="32"/>
        </w:rPr>
        <w:t>在</w:t>
      </w:r>
      <w:r>
        <w:rPr>
          <w:rFonts w:hint="eastAsia" w:ascii="仿宋_GB2312" w:hAnsi="仿宋" w:eastAsia="仿宋_GB2312" w:cs="仿宋_GB2312"/>
          <w:sz w:val="32"/>
          <w:szCs w:val="32"/>
        </w:rPr>
        <w:t>老工业基地</w:t>
      </w:r>
      <w:r>
        <w:rPr>
          <w:rFonts w:ascii="仿宋_GB2312" w:hAnsi="仿宋" w:eastAsia="仿宋_GB2312" w:cs="仿宋_GB2312"/>
          <w:sz w:val="32"/>
          <w:szCs w:val="32"/>
        </w:rPr>
        <w:t>振兴、淮河生态经济带等重大战略规划节点中</w:t>
      </w:r>
      <w:r>
        <w:rPr>
          <w:rFonts w:hint="eastAsia" w:ascii="仿宋_GB2312" w:hAnsi="仿宋" w:eastAsia="仿宋_GB2312" w:cs="仿宋_GB2312"/>
          <w:sz w:val="32"/>
          <w:szCs w:val="32"/>
        </w:rPr>
        <w:t>加快</w:t>
      </w:r>
      <w:r>
        <w:rPr>
          <w:rFonts w:ascii="仿宋_GB2312" w:hAnsi="仿宋" w:eastAsia="仿宋_GB2312" w:cs="仿宋_GB2312"/>
          <w:sz w:val="32"/>
          <w:szCs w:val="32"/>
        </w:rPr>
        <w:t>发展，</w:t>
      </w:r>
      <w:r>
        <w:rPr>
          <w:rFonts w:hint="eastAsia" w:ascii="仿宋_GB2312" w:hAnsi="仿宋" w:eastAsia="仿宋_GB2312" w:cs="仿宋_GB2312"/>
          <w:sz w:val="32"/>
          <w:szCs w:val="32"/>
        </w:rPr>
        <w:t>借助长三角一体化、自贸区建设等机遇，成功引进深圳帝晶、上海众新、中科大禹、九州云箭等78家企业落户发展，以高端装备制造、硅基新材料、电子信息等为主导的新兴产业加速集聚，产业链初步形成。2020年新增规上工业企业15户。持续推动服务业健康发展，电子商务、国际贸易、航运、数字经济快速发展，深圳赤湾东方物</w:t>
      </w:r>
      <w:r>
        <w:rPr>
          <w:rFonts w:hint="eastAsia" w:ascii="仿宋_GB2312" w:hAnsi="仿宋" w:eastAsia="仿宋_GB2312" w:cs="仿宋"/>
          <w:kern w:val="0"/>
          <w:sz w:val="32"/>
          <w:szCs w:val="32"/>
        </w:rPr>
        <w:t>流项目落地生根，</w:t>
      </w:r>
      <w:r>
        <w:rPr>
          <w:rFonts w:hint="eastAsia" w:ascii="仿宋_GB2312" w:hAnsi="仿宋" w:eastAsia="仿宋_GB2312" w:cs="仿宋_GB2312"/>
          <w:sz w:val="32"/>
          <w:szCs w:val="32"/>
        </w:rPr>
        <w:t>金划算、</w:t>
      </w:r>
      <w:r>
        <w:rPr>
          <w:rStyle w:val="35"/>
          <w:rFonts w:ascii="仿宋_GB2312" w:hAnsi="Calibri" w:eastAsia="仿宋_GB2312"/>
          <w:sz w:val="32"/>
          <w:szCs w:val="32"/>
        </w:rPr>
        <w:t>七彩鹿</w:t>
      </w:r>
      <w:r>
        <w:rPr>
          <w:rFonts w:hint="eastAsia" w:ascii="仿宋_GB2312" w:hAnsi="仿宋" w:eastAsia="仿宋_GB2312" w:cs="仿宋_GB2312"/>
          <w:sz w:val="32"/>
          <w:szCs w:val="32"/>
        </w:rPr>
        <w:t>等公司持续壮大，</w:t>
      </w:r>
      <w:r>
        <w:rPr>
          <w:rFonts w:hint="eastAsia" w:ascii="仿宋_GB2312" w:hAnsi="仿宋" w:eastAsia="仿宋_GB2312" w:cs="仿宋"/>
          <w:kern w:val="0"/>
          <w:sz w:val="32"/>
          <w:szCs w:val="32"/>
        </w:rPr>
        <w:t>蚌埠港建成淮河流域首个二类水运口岸，临港现代物流产业园获批省级现代物流集聚区。钓鱼台禹投大厦、朝阳瑞公馆、纬四银河中心、大庆经济发展中心等三产业态加速集聚，入驻企业196家，服务业日趋繁荣。</w:t>
      </w:r>
      <w:bookmarkEnd w:id="7"/>
      <w:bookmarkEnd w:id="8"/>
      <w:bookmarkEnd w:id="9"/>
    </w:p>
    <w:p w14:paraId="713600DA">
      <w:pPr>
        <w:autoSpaceDE w:val="0"/>
        <w:autoSpaceDN w:val="0"/>
        <w:adjustRightInd w:val="0"/>
        <w:snapToGrid w:val="0"/>
        <w:spacing w:line="560" w:lineRule="exact"/>
        <w:ind w:firstLine="643" w:firstLineChars="200"/>
        <w:rPr>
          <w:rFonts w:ascii="仿宋_GB2312" w:hAnsi="仿宋" w:eastAsia="仿宋_GB2312" w:cs="仿宋_GB2312"/>
          <w:sz w:val="32"/>
          <w:szCs w:val="32"/>
        </w:rPr>
      </w:pPr>
      <w:r>
        <w:rPr>
          <w:rFonts w:hint="eastAsia" w:ascii="仿宋_GB2312" w:hAnsi="仿宋" w:eastAsia="仿宋_GB2312" w:cs="仿宋"/>
          <w:b/>
          <w:kern w:val="0"/>
          <w:sz w:val="32"/>
          <w:szCs w:val="32"/>
        </w:rPr>
        <w:t>乡村振兴稳步实施。</w:t>
      </w:r>
      <w:r>
        <w:rPr>
          <w:rFonts w:hint="eastAsia" w:ascii="仿宋_GB2312" w:hAnsi="仿宋" w:eastAsia="仿宋_GB2312" w:cs="仿宋"/>
          <w:kern w:val="0"/>
          <w:sz w:val="32"/>
          <w:szCs w:val="32"/>
        </w:rPr>
        <w:t>科学编制《</w:t>
      </w:r>
      <w:r>
        <w:rPr>
          <w:rFonts w:ascii="仿宋_GB2312" w:hAnsi="仿宋" w:eastAsia="仿宋_GB2312" w:cs="仿宋"/>
          <w:kern w:val="0"/>
          <w:sz w:val="32"/>
          <w:szCs w:val="32"/>
        </w:rPr>
        <w:t>禹会区乡村振兴战略规划</w:t>
      </w:r>
      <w:r>
        <w:rPr>
          <w:rFonts w:hint="eastAsia" w:ascii="仿宋_GB2312" w:hAnsi="仿宋" w:eastAsia="仿宋_GB2312" w:cs="仿宋"/>
          <w:kern w:val="0"/>
          <w:sz w:val="32"/>
          <w:szCs w:val="32"/>
        </w:rPr>
        <w:t>》,</w:t>
      </w:r>
      <w:r>
        <w:rPr>
          <w:rFonts w:ascii="仿宋_GB2312" w:hAnsi="仿宋" w:eastAsia="仿宋_GB2312" w:cs="仿宋"/>
          <w:kern w:val="0"/>
          <w:sz w:val="32"/>
          <w:szCs w:val="32"/>
        </w:rPr>
        <w:t>推进特色小镇和都市休闲农业</w:t>
      </w:r>
      <w:r>
        <w:rPr>
          <w:rFonts w:hint="eastAsia" w:ascii="仿宋_GB2312" w:hAnsi="仿宋" w:eastAsia="仿宋_GB2312" w:cs="仿宋"/>
          <w:kern w:val="0"/>
          <w:sz w:val="32"/>
          <w:szCs w:val="32"/>
        </w:rPr>
        <w:t>发展</w:t>
      </w:r>
      <w:r>
        <w:rPr>
          <w:rFonts w:ascii="仿宋_GB2312" w:hAnsi="仿宋" w:eastAsia="仿宋_GB2312" w:cs="仿宋"/>
          <w:kern w:val="0"/>
          <w:sz w:val="32"/>
          <w:szCs w:val="32"/>
        </w:rPr>
        <w:t>，激发区域新动能。总投资</w:t>
      </w:r>
      <w:r>
        <w:rPr>
          <w:rFonts w:hint="eastAsia" w:ascii="仿宋_GB2312" w:hAnsi="仿宋" w:eastAsia="仿宋_GB2312" w:cs="仿宋"/>
          <w:kern w:val="0"/>
          <w:sz w:val="32"/>
          <w:szCs w:val="32"/>
        </w:rPr>
        <w:t>14.5</w:t>
      </w:r>
      <w:r>
        <w:rPr>
          <w:rFonts w:ascii="仿宋_GB2312" w:hAnsi="仿宋" w:eastAsia="仿宋_GB2312" w:cs="仿宋"/>
          <w:kern w:val="0"/>
          <w:sz w:val="32"/>
          <w:szCs w:val="32"/>
        </w:rPr>
        <w:t>亿元的</w:t>
      </w:r>
      <w:r>
        <w:rPr>
          <w:rFonts w:hint="eastAsia" w:ascii="仿宋_GB2312" w:hAnsi="仿宋" w:eastAsia="仿宋_GB2312" w:cs="仿宋"/>
          <w:kern w:val="0"/>
          <w:sz w:val="32"/>
          <w:szCs w:val="32"/>
        </w:rPr>
        <w:t>206国道开辟了马城区域第二条大通道，牵引经济快速发展。乡村基础设施不断完善，先后投入资金近3亿元，新建马孝路、河莲路、白衣路等四好农村路200余公里；城市公交180开通至马城区域，群众交通出行更加便捷；投入5亿元，完成淮干黄苏段一般堤防8.2公里退建、7.8公里新筑，加固8.5公里天河封闭堤，新建天河闸、孔津湖、马城、禹会等排涝站11座。新修120公里农田水利干渠，整理高标准农田1.5万亩。全区36个村挂牌成立村级股份经济合作社，全部完成集体产权制度改革和“三变”改革，获评全省首批盘活利用闲置农房和农村宅基地试点示范县区。涂山“万亩优质精品石榴”获得国家地理标志，晚秋黄梨、绿园蔬菜等16家企业完成“三品一标”认证。长青城镇化水平逐步提升，老贯徐、周蔡完成整村征迁改造，宋滩、郑郢等5个村实现村改居。</w:t>
      </w:r>
      <w:r>
        <w:rPr>
          <w:rFonts w:hint="eastAsia" w:ascii="仿宋_GB2312" w:hAnsi="仿宋" w:eastAsia="仿宋_GB2312" w:cs="仿宋"/>
          <w:color w:val="000000" w:themeColor="text1"/>
          <w:kern w:val="0"/>
          <w:sz w:val="32"/>
          <w:szCs w:val="32"/>
        </w:rPr>
        <w:t>先后投入13.5亿元，在马城新建了22.3万平方米安置房，及</w:t>
      </w:r>
      <w:r>
        <w:rPr>
          <w:rFonts w:hint="eastAsia" w:ascii="仿宋_GB2312" w:hAnsi="仿宋" w:eastAsia="仿宋_GB2312" w:cs="仿宋"/>
          <w:color w:val="000000" w:themeColor="text1"/>
          <w:sz w:val="32"/>
          <w:szCs w:val="32"/>
        </w:rPr>
        <w:t>污水处理厂、自来水厂、禹会区人民医院、消防站、综合文化站等设施，</w:t>
      </w:r>
      <w:r>
        <w:rPr>
          <w:rFonts w:hint="eastAsia" w:ascii="仿宋_GB2312" w:hAnsi="仿宋" w:eastAsia="仿宋_GB2312" w:cs="仿宋"/>
          <w:sz w:val="32"/>
          <w:szCs w:val="32"/>
        </w:rPr>
        <w:t>建成了淮河中宏码头，规划了绿色建材产业园，</w:t>
      </w:r>
      <w:r>
        <w:rPr>
          <w:rFonts w:hint="eastAsia" w:ascii="仿宋_GB2312" w:hAnsi="仿宋" w:eastAsia="仿宋_GB2312" w:cs="仿宋"/>
          <w:kern w:val="0"/>
          <w:sz w:val="32"/>
          <w:szCs w:val="32"/>
        </w:rPr>
        <w:t>一座产业新城呼之欲</w:t>
      </w:r>
      <w:r>
        <w:rPr>
          <w:rFonts w:hint="eastAsia" w:ascii="仿宋_GB2312" w:hAnsi="仿宋" w:eastAsia="仿宋_GB2312" w:cs="仿宋"/>
          <w:sz w:val="32"/>
          <w:szCs w:val="32"/>
        </w:rPr>
        <w:t>出。</w:t>
      </w:r>
    </w:p>
    <w:p w14:paraId="26D22E2C">
      <w:pPr>
        <w:autoSpaceDE w:val="0"/>
        <w:autoSpaceDN w:val="0"/>
        <w:adjustRightInd w:val="0"/>
        <w:snapToGrid w:val="0"/>
        <w:spacing w:line="560" w:lineRule="exact"/>
        <w:ind w:firstLine="640" w:firstLineChars="200"/>
        <w:outlineLvl w:val="2"/>
        <w:rPr>
          <w:rFonts w:ascii="楷体" w:hAnsi="楷体" w:eastAsia="楷体" w:cs="仿宋"/>
          <w:bCs/>
          <w:kern w:val="0"/>
          <w:sz w:val="32"/>
          <w:szCs w:val="32"/>
        </w:rPr>
      </w:pPr>
      <w:bookmarkStart w:id="10" w:name="_Toc50278154"/>
      <w:bookmarkStart w:id="11" w:name="_Toc22187"/>
      <w:bookmarkStart w:id="12" w:name="_Toc58081131"/>
      <w:r>
        <w:rPr>
          <w:rFonts w:hint="eastAsia" w:ascii="楷体" w:hAnsi="楷体" w:eastAsia="楷体" w:cs="仿宋"/>
          <w:bCs/>
          <w:kern w:val="0"/>
          <w:sz w:val="32"/>
          <w:szCs w:val="32"/>
        </w:rPr>
        <w:t>（三）历经五年的添砖加瓦，城市建设成效</w:t>
      </w:r>
      <w:bookmarkEnd w:id="10"/>
      <w:r>
        <w:rPr>
          <w:rFonts w:hint="eastAsia" w:ascii="楷体" w:hAnsi="楷体" w:eastAsia="楷体" w:cs="仿宋"/>
          <w:bCs/>
          <w:kern w:val="0"/>
          <w:sz w:val="32"/>
          <w:szCs w:val="32"/>
        </w:rPr>
        <w:t>明显</w:t>
      </w:r>
      <w:bookmarkEnd w:id="11"/>
      <w:bookmarkEnd w:id="12"/>
    </w:p>
    <w:p w14:paraId="7F87CF52">
      <w:pPr>
        <w:pStyle w:val="12"/>
        <w:shd w:val="clear" w:color="auto" w:fill="FFFFFF"/>
        <w:spacing w:before="0" w:beforeAutospacing="0" w:after="0" w:afterAutospacing="0" w:line="560" w:lineRule="exact"/>
        <w:ind w:firstLine="643" w:firstLineChars="200"/>
        <w:jc w:val="both"/>
        <w:rPr>
          <w:rFonts w:ascii="仿宋" w:hAnsi="仿宋" w:eastAsia="仿宋"/>
          <w:sz w:val="32"/>
          <w:szCs w:val="32"/>
        </w:rPr>
      </w:pPr>
      <w:r>
        <w:rPr>
          <w:rFonts w:hint="eastAsia" w:ascii="仿宋_GB2312" w:hAnsi="仿宋" w:eastAsia="仿宋_GB2312" w:cs="仿宋"/>
          <w:b/>
          <w:bCs/>
          <w:sz w:val="32"/>
          <w:szCs w:val="32"/>
        </w:rPr>
        <w:t>居住条件大幅改善。</w:t>
      </w:r>
      <w:r>
        <w:rPr>
          <w:rFonts w:hint="eastAsia" w:ascii="仿宋_GB2312" w:hAnsi="仿宋" w:eastAsia="仿宋_GB2312" w:cs="仿宋"/>
          <w:bCs/>
          <w:sz w:val="32"/>
          <w:szCs w:val="32"/>
        </w:rPr>
        <w:t>坚持</w:t>
      </w:r>
      <w:r>
        <w:rPr>
          <w:rFonts w:hint="eastAsia" w:ascii="仿宋_GB2312" w:hAnsi="仿宋" w:eastAsia="仿宋_GB2312" w:cs="楷体"/>
          <w:sz w:val="32"/>
          <w:szCs w:val="32"/>
        </w:rPr>
        <w:t>以人民为中心，创新棚户区改造模式，变“先拆后建”为“先建后拆”，为群众提供“现房”供选择安置，让征迁群众实现“零过渡”。棚户区（城中村）改造成效凸显，拆除钓鱼台区域、新船塘、柴油机厂等60个棚户区（城中村）共约22万平方米，新建秀水新村、喜迎门、六公里花苑等22个安置小区共2.1万余套安置房，改善6万余人住房条件，其中喜迎门小区建成安置房近6000套，成为全市规模最大、配套最全的安置小区。累计提升改造康乐大院、蓝鲸小区等老旧小区71个，受益群众3万余户。</w:t>
      </w:r>
      <w:r>
        <w:rPr>
          <w:rFonts w:hint="eastAsia" w:ascii="仿宋_GB2312" w:hAnsi="仿宋" w:eastAsia="仿宋_GB2312" w:cs="仿宋"/>
          <w:sz w:val="32"/>
          <w:szCs w:val="32"/>
        </w:rPr>
        <w:t>新建前进路、张公山七村等10个街头游园，居住品质显著提升。</w:t>
      </w:r>
      <w:r>
        <w:rPr>
          <w:rFonts w:hint="eastAsia" w:ascii="仿宋_GB2312" w:hAnsi="仿宋" w:eastAsia="仿宋_GB2312" w:cs="楷体"/>
          <w:sz w:val="32"/>
          <w:szCs w:val="32"/>
        </w:rPr>
        <w:t>成功解决</w:t>
      </w:r>
      <w:r>
        <w:rPr>
          <w:rFonts w:hint="eastAsia" w:ascii="仿宋_GB2312" w:hAnsi="仿宋" w:eastAsia="仿宋_GB2312"/>
          <w:color w:val="000000" w:themeColor="text1"/>
          <w:sz w:val="32"/>
          <w:szCs w:val="32"/>
        </w:rPr>
        <w:t>金伟熙城观邸、天鹅居等8个项目</w:t>
      </w:r>
      <w:r>
        <w:rPr>
          <w:rFonts w:hint="eastAsia" w:ascii="仿宋_GB2312" w:hAnsi="仿宋" w:eastAsia="仿宋_GB2312" w:cs="仿宋"/>
          <w:color w:val="000000" w:themeColor="text1"/>
          <w:sz w:val="32"/>
          <w:szCs w:val="32"/>
        </w:rPr>
        <w:t>3800户群众房屋产权证办理难题，切实维护群众利益。</w:t>
      </w:r>
    </w:p>
    <w:p w14:paraId="36617D24">
      <w:pPr>
        <w:widowControl/>
        <w:tabs>
          <w:tab w:val="left" w:pos="11340"/>
        </w:tabs>
        <w:snapToGrid w:val="0"/>
        <w:spacing w:line="560" w:lineRule="exact"/>
        <w:ind w:firstLine="643" w:firstLineChars="200"/>
        <w:rPr>
          <w:rFonts w:ascii="仿宋_GB2312" w:hAnsi="仿宋" w:eastAsia="仿宋_GB2312" w:cs="仿宋"/>
          <w:kern w:val="0"/>
          <w:sz w:val="32"/>
          <w:szCs w:val="32"/>
        </w:rPr>
      </w:pPr>
      <w:r>
        <w:rPr>
          <w:rFonts w:hint="eastAsia" w:ascii="仿宋_GB2312" w:hAnsi="仿宋" w:eastAsia="仿宋_GB2312" w:cs="仿宋"/>
          <w:b/>
          <w:kern w:val="0"/>
          <w:sz w:val="32"/>
          <w:szCs w:val="32"/>
        </w:rPr>
        <w:t>城市功能日趋完善。</w:t>
      </w:r>
      <w:r>
        <w:rPr>
          <w:rFonts w:hint="eastAsia" w:ascii="仿宋_GB2312" w:hAnsi="仿宋" w:eastAsia="仿宋_GB2312" w:cs="仿宋"/>
          <w:kern w:val="0"/>
          <w:sz w:val="32"/>
          <w:szCs w:val="32"/>
        </w:rPr>
        <w:t>探索“城管+”执法模式，协同执法</w:t>
      </w:r>
      <w:r>
        <w:rPr>
          <w:rFonts w:hint="eastAsia" w:ascii="仿宋_GB2312" w:hAnsi="仿宋_GB2312" w:eastAsia="仿宋_GB2312" w:cs="仿宋_GB2312"/>
          <w:sz w:val="32"/>
          <w:szCs w:val="32"/>
        </w:rPr>
        <w:t>资源，增强综合行政执法能力</w:t>
      </w:r>
      <w:r>
        <w:rPr>
          <w:rFonts w:hint="eastAsia" w:ascii="仿宋_GB2312" w:hAnsi="仿宋" w:eastAsia="仿宋_GB2312" w:cs="仿宋"/>
          <w:kern w:val="0"/>
          <w:sz w:val="32"/>
          <w:szCs w:val="32"/>
        </w:rPr>
        <w:t>，上线综合执法大数据平台，打造智慧城市管理新模式，</w:t>
      </w:r>
      <w:r>
        <w:rPr>
          <w:rFonts w:ascii="仿宋_GB2312" w:hAnsi="仿宋" w:eastAsia="仿宋_GB2312" w:cs="仿宋"/>
          <w:kern w:val="0"/>
          <w:sz w:val="32"/>
          <w:szCs w:val="32"/>
        </w:rPr>
        <w:t>蝉联第五、第六届全国文明城市</w:t>
      </w:r>
      <w:r>
        <w:rPr>
          <w:rFonts w:hint="eastAsia" w:ascii="仿宋_GB2312" w:hAnsi="仿宋" w:eastAsia="仿宋_GB2312" w:cs="仿宋"/>
          <w:kern w:val="0"/>
          <w:sz w:val="32"/>
          <w:szCs w:val="32"/>
        </w:rPr>
        <w:t>。合理布局老城区教育资源，建成蚌埠二中禹会实验学校，建设朝阳实验学校、淮海小学，提升教育质量。第一人民医院8.3万平方米病房大楼开工建设，与上海第十人民医院紧密合作，借力长三角资源，服务珠城人民。蚌埠五院提标升级，诊疗水平大幅提升；建成国家级登山健身步道，举办多场国家级登山比赛。涂山“彩虹道”成为市民周末郊游的网红“打卡点”。开工建设张公山北公园、涂山公园、黑虎山公园等项目，城区居住环境明显改善。G3高速出入口建成通车，中粮大道白改黑完成，兴华路开工建设，打通淮河路、纬六路等7条城区道路，通行条件全面提升。</w:t>
      </w:r>
    </w:p>
    <w:p w14:paraId="7939A97B">
      <w:pPr>
        <w:autoSpaceDE w:val="0"/>
        <w:autoSpaceDN w:val="0"/>
        <w:adjustRightInd w:val="0"/>
        <w:snapToGrid w:val="0"/>
        <w:spacing w:line="560" w:lineRule="exact"/>
        <w:ind w:firstLine="643" w:firstLineChars="200"/>
        <w:jc w:val="left"/>
        <w:rPr>
          <w:rFonts w:ascii="仿宋_GB2312" w:hAnsi="仿宋" w:eastAsia="仿宋_GB2312" w:cs="仿宋"/>
          <w:kern w:val="0"/>
          <w:sz w:val="32"/>
          <w:szCs w:val="32"/>
        </w:rPr>
      </w:pPr>
      <w:r>
        <w:rPr>
          <w:rFonts w:hint="eastAsia" w:ascii="仿宋_GB2312" w:hAnsi="仿宋" w:eastAsia="仿宋_GB2312" w:cs="仿宋"/>
          <w:b/>
          <w:bCs/>
          <w:kern w:val="0"/>
          <w:sz w:val="32"/>
          <w:szCs w:val="32"/>
        </w:rPr>
        <w:t>城区面貌焕然一新。</w:t>
      </w:r>
      <w:r>
        <w:rPr>
          <w:rFonts w:hint="eastAsia" w:ascii="仿宋_GB2312" w:hAnsi="仿宋" w:eastAsia="仿宋_GB2312" w:cs="仿宋"/>
          <w:kern w:val="0"/>
          <w:sz w:val="32"/>
          <w:szCs w:val="32"/>
        </w:rPr>
        <w:t>坚持规划引领，编制了《蚌埠市西部城市更新及产业转型升级发展规划》，统筹推进西部城区综合开发。钓鱼台、朝阳、纬四、张公山片区基本消除连片棚户区，荣盛锦绣香堤、信地潜龙湾、观澜御湖、华地公馆、和顺第九街等小区陆续建成，老城区旧貌换新颜。欧尚超市、百大拓基广场、荣盛时代广场、观澜瑞公馆、银河中心等商业街区，各种业态加速布局，群众生活更加便利；张公山公园山水相映，鸟语花香，亭台楼榭，各具特色，成为群众户外休闲的好去处。</w:t>
      </w:r>
    </w:p>
    <w:p w14:paraId="46AA2478">
      <w:pPr>
        <w:autoSpaceDE w:val="0"/>
        <w:autoSpaceDN w:val="0"/>
        <w:adjustRightInd w:val="0"/>
        <w:snapToGrid w:val="0"/>
        <w:spacing w:line="560" w:lineRule="exact"/>
        <w:ind w:firstLine="640" w:firstLineChars="200"/>
        <w:outlineLvl w:val="2"/>
        <w:rPr>
          <w:rFonts w:ascii="楷体" w:hAnsi="楷体" w:eastAsia="楷体" w:cs="仿宋"/>
          <w:bCs/>
          <w:kern w:val="0"/>
          <w:sz w:val="32"/>
          <w:szCs w:val="32"/>
        </w:rPr>
      </w:pPr>
      <w:bookmarkStart w:id="13" w:name="_Toc58081132"/>
      <w:bookmarkStart w:id="14" w:name="_Toc21723"/>
      <w:bookmarkStart w:id="15" w:name="_Toc50278155"/>
      <w:r>
        <w:rPr>
          <w:rFonts w:hint="eastAsia" w:ascii="楷体" w:hAnsi="楷体" w:eastAsia="楷体" w:cs="仿宋"/>
          <w:bCs/>
          <w:kern w:val="0"/>
          <w:sz w:val="32"/>
          <w:szCs w:val="32"/>
        </w:rPr>
        <w:t>（四）历经五年的披荆斩棘，生态环境明显改善</w:t>
      </w:r>
      <w:bookmarkEnd w:id="13"/>
      <w:bookmarkEnd w:id="14"/>
      <w:bookmarkEnd w:id="15"/>
    </w:p>
    <w:p w14:paraId="696EAC5D">
      <w:pPr>
        <w:widowControl/>
        <w:shd w:val="clear" w:color="auto" w:fill="FFFFFF"/>
        <w:adjustRightInd w:val="0"/>
        <w:snapToGrid w:val="0"/>
        <w:spacing w:line="560" w:lineRule="exact"/>
        <w:ind w:firstLine="643" w:firstLineChars="200"/>
        <w:jc w:val="left"/>
        <w:rPr>
          <w:rFonts w:ascii="仿宋_GB2312" w:hAnsi="仿宋" w:eastAsia="仿宋_GB2312" w:cs="仿宋"/>
          <w:kern w:val="0"/>
          <w:sz w:val="32"/>
          <w:szCs w:val="32"/>
        </w:rPr>
      </w:pPr>
      <w:r>
        <w:rPr>
          <w:rFonts w:hint="eastAsia" w:ascii="仿宋_GB2312" w:hAnsi="仿宋" w:eastAsia="仿宋_GB2312" w:cs="仿宋"/>
          <w:b/>
          <w:kern w:val="0"/>
          <w:sz w:val="32"/>
          <w:szCs w:val="32"/>
        </w:rPr>
        <w:t>生态保护扎实有效。</w:t>
      </w:r>
      <w:r>
        <w:rPr>
          <w:rFonts w:hint="eastAsia" w:ascii="仿宋_GB2312" w:hAnsi="仿宋" w:eastAsia="仿宋_GB2312" w:cs="仿宋"/>
          <w:kern w:val="0"/>
          <w:sz w:val="32"/>
          <w:szCs w:val="32"/>
        </w:rPr>
        <w:t>坚持“绿水青山就是金山银山”发展理念，完成大洪山国有林场改制，投入资金近40</w:t>
      </w:r>
      <w:r>
        <w:rPr>
          <w:rFonts w:ascii="仿宋_GB2312" w:hAnsi="仿宋" w:eastAsia="仿宋_GB2312" w:cs="仿宋"/>
          <w:kern w:val="0"/>
          <w:sz w:val="32"/>
          <w:szCs w:val="32"/>
        </w:rPr>
        <w:t>00</w:t>
      </w:r>
      <w:r>
        <w:rPr>
          <w:rFonts w:hint="eastAsia" w:ascii="仿宋_GB2312" w:hAnsi="仿宋" w:eastAsia="仿宋_GB2312" w:cs="仿宋"/>
          <w:kern w:val="0"/>
          <w:sz w:val="32"/>
          <w:szCs w:val="32"/>
        </w:rPr>
        <w:t>万元，坚持宜林则林、宜草则草原则，连续实施植绿覆绿5500余亩，</w:t>
      </w:r>
      <w:r>
        <w:rPr>
          <w:rFonts w:ascii="仿宋_GB2312" w:hAnsi="仿宋" w:eastAsia="仿宋_GB2312" w:cs="仿宋"/>
          <w:kern w:val="0"/>
          <w:sz w:val="32"/>
          <w:szCs w:val="32"/>
        </w:rPr>
        <w:t>大洪山林场被确定为安徽省林长制改革示范区先行区</w:t>
      </w:r>
      <w:r>
        <w:rPr>
          <w:rFonts w:hint="eastAsia" w:ascii="仿宋_GB2312" w:hAnsi="仿宋" w:eastAsia="仿宋_GB2312" w:cs="仿宋"/>
          <w:kern w:val="0"/>
          <w:sz w:val="32"/>
          <w:szCs w:val="32"/>
        </w:rPr>
        <w:t>。严格落实河长制、湖长制，集中开展河湖“清四乱”专项行动，加强淮河岸线综合整治和天河水源地保护工作，服务引天济龙（张）工程加速建设，完成</w:t>
      </w:r>
      <w:r>
        <w:rPr>
          <w:rFonts w:hint="eastAsia" w:ascii="仿宋_GB2312" w:hAnsi="仿宋_GB2312" w:eastAsia="仿宋_GB2312" w:cs="仿宋_GB2312"/>
          <w:bCs/>
          <w:sz w:val="32"/>
          <w:szCs w:val="32"/>
        </w:rPr>
        <w:t>黑虎山东南麓截洪应急治理工程，</w:t>
      </w:r>
      <w:r>
        <w:rPr>
          <w:rFonts w:hint="eastAsia" w:ascii="仿宋_GB2312" w:hAnsi="仿宋" w:eastAsia="仿宋_GB2312" w:cs="仿宋"/>
          <w:kern w:val="0"/>
          <w:sz w:val="32"/>
          <w:szCs w:val="32"/>
        </w:rPr>
        <w:t>八里沟、席家沟水清岸绿成效明显，更高水平的建设规划正在编制，未来五年将水系连通，碧波荡漾。</w:t>
      </w:r>
    </w:p>
    <w:p w14:paraId="1787CB38">
      <w:pPr>
        <w:widowControl/>
        <w:shd w:val="clear" w:color="auto" w:fill="FFFFFF"/>
        <w:adjustRightInd w:val="0"/>
        <w:snapToGrid w:val="0"/>
        <w:spacing w:line="560" w:lineRule="exact"/>
        <w:ind w:firstLine="643" w:firstLineChars="200"/>
        <w:jc w:val="left"/>
        <w:rPr>
          <w:rFonts w:ascii="仿宋_GB2312" w:hAnsi="仿宋" w:eastAsia="仿宋_GB2312" w:cs="仿宋"/>
          <w:kern w:val="0"/>
          <w:sz w:val="32"/>
          <w:szCs w:val="32"/>
        </w:rPr>
      </w:pPr>
      <w:r>
        <w:rPr>
          <w:rFonts w:hint="eastAsia" w:ascii="仿宋_GB2312" w:hAnsi="仿宋" w:eastAsia="仿宋_GB2312" w:cs="仿宋"/>
          <w:b/>
          <w:kern w:val="0"/>
          <w:sz w:val="32"/>
          <w:szCs w:val="32"/>
        </w:rPr>
        <w:t>生态治理成效明显。</w:t>
      </w:r>
      <w:r>
        <w:rPr>
          <w:rFonts w:hint="eastAsia" w:ascii="仿宋_GB2312" w:eastAsia="仿宋_GB2312"/>
          <w:sz w:val="32"/>
          <w:szCs w:val="40"/>
        </w:rPr>
        <w:t>全面完成中粮涂山热电、新源热电超</w:t>
      </w:r>
      <w:r>
        <w:rPr>
          <w:rFonts w:hint="eastAsia" w:ascii="仿宋_GB2312" w:hAnsi="仿宋" w:eastAsia="仿宋_GB2312" w:cs="仿宋"/>
          <w:kern w:val="0"/>
          <w:sz w:val="32"/>
          <w:szCs w:val="32"/>
        </w:rPr>
        <w:t>低排放改造。推进天润化工、佳先股份等企业退市进园，减少了废气排放。节能减排成效显著，单位GDP能耗全面完成“双控”目标，能耗控制率稳居全市前三。在全市试点居民“煤改气”，给群众带来了实实在在的获得感。秸秆禁烧连续8年“零火点”。</w:t>
      </w:r>
      <w:r>
        <w:rPr>
          <w:rFonts w:hint="eastAsia" w:ascii="仿宋_GB2312" w:hAnsi="仿宋_GB2312" w:eastAsia="仿宋_GB2312" w:cs="仿宋_GB2312"/>
          <w:kern w:val="0"/>
          <w:sz w:val="32"/>
          <w:szCs w:val="32"/>
        </w:rPr>
        <w:t>构筑淮河干流分级管控体系，</w:t>
      </w:r>
      <w:r>
        <w:rPr>
          <w:rFonts w:hint="eastAsia" w:ascii="仿宋_GB2312" w:eastAsia="仿宋_GB2312"/>
          <w:sz w:val="32"/>
          <w:szCs w:val="40"/>
        </w:rPr>
        <w:t>拆解淮河76条</w:t>
      </w:r>
      <w:r>
        <w:rPr>
          <w:rFonts w:ascii="仿宋_GB2312" w:eastAsia="仿宋_GB2312"/>
          <w:sz w:val="32"/>
          <w:szCs w:val="40"/>
        </w:rPr>
        <w:t>非法采砂船</w:t>
      </w:r>
      <w:r>
        <w:rPr>
          <w:rFonts w:hint="eastAsia" w:ascii="仿宋_GB2312" w:eastAsia="仿宋_GB2312"/>
          <w:sz w:val="32"/>
          <w:szCs w:val="40"/>
        </w:rPr>
        <w:t>，拆除禹会、</w:t>
      </w:r>
      <w:r>
        <w:rPr>
          <w:rFonts w:hint="eastAsia" w:ascii="仿宋_GB2312" w:hAnsi="仿宋_GB2312" w:eastAsia="仿宋_GB2312" w:cs="仿宋_GB2312"/>
          <w:sz w:val="32"/>
          <w:szCs w:val="32"/>
        </w:rPr>
        <w:t>苏岗、后胡等20余个</w:t>
      </w:r>
      <w:r>
        <w:rPr>
          <w:rFonts w:hint="eastAsia" w:ascii="仿宋_GB2312" w:eastAsia="仿宋_GB2312"/>
          <w:sz w:val="32"/>
          <w:szCs w:val="40"/>
        </w:rPr>
        <w:t>非法码头</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全面落实淮河流域重点水域禁捕退捕。</w:t>
      </w:r>
      <w:r>
        <w:rPr>
          <w:rFonts w:hint="eastAsia" w:ascii="仿宋_GB2312" w:hAnsi="仿宋_GB2312" w:eastAsia="仿宋_GB2312" w:cs="仿宋_GB2312"/>
          <w:kern w:val="0"/>
          <w:sz w:val="32"/>
          <w:szCs w:val="32"/>
        </w:rPr>
        <w:t>建</w:t>
      </w:r>
      <w:r>
        <w:rPr>
          <w:rFonts w:hint="eastAsia" w:ascii="仿宋_GB2312" w:eastAsia="仿宋_GB2312"/>
          <w:sz w:val="32"/>
          <w:szCs w:val="40"/>
        </w:rPr>
        <w:t>立拆迁、建筑工地巡查长效机制，督促施工单位严格落实“六个百分之百”管控标准，持续做好大气污染防治工作。</w:t>
      </w:r>
    </w:p>
    <w:p w14:paraId="5A25BE59">
      <w:pPr>
        <w:widowControl/>
        <w:shd w:val="clear" w:color="auto" w:fill="FFFFFF"/>
        <w:adjustRightInd w:val="0"/>
        <w:snapToGrid w:val="0"/>
        <w:spacing w:line="560" w:lineRule="exact"/>
        <w:ind w:firstLine="643" w:firstLineChars="200"/>
        <w:jc w:val="left"/>
        <w:rPr>
          <w:rFonts w:ascii="仿宋_GB2312" w:hAnsi="仿宋" w:eastAsia="仿宋_GB2312" w:cs="仿宋"/>
          <w:kern w:val="0"/>
          <w:sz w:val="32"/>
          <w:szCs w:val="32"/>
        </w:rPr>
      </w:pPr>
      <w:r>
        <w:rPr>
          <w:rFonts w:hint="eastAsia" w:ascii="仿宋_GB2312" w:hAnsi="仿宋" w:eastAsia="仿宋_GB2312" w:cs="仿宋"/>
          <w:b/>
          <w:kern w:val="0"/>
          <w:sz w:val="32"/>
          <w:szCs w:val="32"/>
        </w:rPr>
        <w:t>生态文明加速建设。</w:t>
      </w:r>
      <w:r>
        <w:rPr>
          <w:rFonts w:hint="eastAsia" w:ascii="仿宋_GB2312" w:hAnsi="仿宋" w:eastAsia="仿宋_GB2312" w:cs="仿宋"/>
          <w:kern w:val="0"/>
          <w:sz w:val="32"/>
          <w:szCs w:val="32"/>
        </w:rPr>
        <w:t>编制完成《涂山风景区控制性规划》，引领片区绿色发展。实施城镇园林绿化提升行动，累计新增绿地面积104.3万平方米，累计植树造林10万亩，绿化覆盖率达到42%，助力珠城</w:t>
      </w:r>
      <w:r>
        <w:rPr>
          <w:rFonts w:ascii="仿宋_GB2312" w:hAnsi="仿宋" w:eastAsia="仿宋_GB2312" w:cs="仿宋"/>
          <w:kern w:val="0"/>
          <w:sz w:val="32"/>
          <w:szCs w:val="32"/>
        </w:rPr>
        <w:t>成功创建国家园林城市</w:t>
      </w:r>
      <w:r>
        <w:rPr>
          <w:rFonts w:hint="eastAsia" w:ascii="仿宋_GB2312" w:hAnsi="仿宋" w:eastAsia="仿宋_GB2312" w:cs="仿宋"/>
          <w:kern w:val="0"/>
          <w:sz w:val="32"/>
          <w:szCs w:val="32"/>
        </w:rPr>
        <w:t>。国家级生态文明先行示范区建设成效明显，成立全市首个湿地自然学校（马城镇花郢小学），全区湿地面积达到5537公顷，湿地保护率达74%。建成</w:t>
      </w:r>
      <w:r>
        <w:rPr>
          <w:rFonts w:ascii="仿宋_GB2312" w:hAnsi="仿宋" w:eastAsia="仿宋_GB2312" w:cs="仿宋"/>
          <w:kern w:val="0"/>
          <w:sz w:val="32"/>
          <w:szCs w:val="32"/>
        </w:rPr>
        <w:t>草寺村、广德村、花郢村</w:t>
      </w:r>
      <w:r>
        <w:rPr>
          <w:rFonts w:hint="eastAsia" w:ascii="仿宋_GB2312" w:hAnsi="仿宋" w:eastAsia="仿宋_GB2312" w:cs="仿宋"/>
          <w:kern w:val="0"/>
          <w:sz w:val="32"/>
          <w:szCs w:val="32"/>
        </w:rPr>
        <w:t>等9个村污水管网，完成马城、后程、前郢等5条黑臭水体整治，乡村清洁工程扎实推进，成效明显。</w:t>
      </w:r>
    </w:p>
    <w:p w14:paraId="0CD6795D">
      <w:pPr>
        <w:autoSpaceDE w:val="0"/>
        <w:autoSpaceDN w:val="0"/>
        <w:adjustRightInd w:val="0"/>
        <w:snapToGrid w:val="0"/>
        <w:spacing w:line="560" w:lineRule="exact"/>
        <w:ind w:firstLine="640" w:firstLineChars="200"/>
        <w:outlineLvl w:val="2"/>
        <w:rPr>
          <w:rFonts w:ascii="楷体" w:hAnsi="楷体" w:eastAsia="楷体" w:cs="仿宋"/>
          <w:bCs/>
          <w:kern w:val="0"/>
          <w:sz w:val="32"/>
          <w:szCs w:val="32"/>
        </w:rPr>
      </w:pPr>
      <w:bookmarkStart w:id="16" w:name="_Toc50278156"/>
      <w:bookmarkStart w:id="17" w:name="_Toc58081133"/>
      <w:bookmarkStart w:id="18" w:name="_Toc18129"/>
      <w:r>
        <w:rPr>
          <w:rFonts w:hint="eastAsia" w:ascii="楷体" w:hAnsi="楷体" w:eastAsia="楷体" w:cs="仿宋"/>
          <w:bCs/>
          <w:kern w:val="0"/>
          <w:sz w:val="32"/>
          <w:szCs w:val="32"/>
        </w:rPr>
        <w:t>（五）历经五年的埋头苦干，社会事业全面</w:t>
      </w:r>
      <w:bookmarkEnd w:id="16"/>
      <w:r>
        <w:rPr>
          <w:rFonts w:hint="eastAsia" w:ascii="楷体" w:hAnsi="楷体" w:eastAsia="楷体" w:cs="仿宋"/>
          <w:bCs/>
          <w:kern w:val="0"/>
          <w:sz w:val="32"/>
          <w:szCs w:val="32"/>
        </w:rPr>
        <w:t>提质</w:t>
      </w:r>
      <w:bookmarkEnd w:id="17"/>
      <w:bookmarkEnd w:id="18"/>
    </w:p>
    <w:p w14:paraId="1BD13FF1">
      <w:pPr>
        <w:adjustRightInd w:val="0"/>
        <w:snapToGrid w:val="0"/>
        <w:spacing w:line="560" w:lineRule="exact"/>
        <w:ind w:firstLine="643" w:firstLineChars="200"/>
        <w:rPr>
          <w:rFonts w:ascii="仿宋_GB2312" w:hAnsi="仿宋" w:eastAsia="仿宋_GB2312" w:cs="仿宋"/>
          <w:kern w:val="0"/>
          <w:sz w:val="32"/>
          <w:szCs w:val="32"/>
        </w:rPr>
      </w:pPr>
      <w:r>
        <w:rPr>
          <w:rFonts w:hint="eastAsia" w:ascii="仿宋_GB2312" w:hAnsi="仿宋" w:eastAsia="仿宋_GB2312" w:cs="仿宋"/>
          <w:b/>
          <w:kern w:val="0"/>
          <w:sz w:val="32"/>
          <w:szCs w:val="32"/>
        </w:rPr>
        <w:t>教育质量稳步提升。</w:t>
      </w:r>
      <w:r>
        <w:rPr>
          <w:rFonts w:hint="eastAsia" w:ascii="仿宋_GB2312" w:hAnsi="仿宋" w:eastAsia="仿宋_GB2312" w:cs="仿宋"/>
          <w:kern w:val="0"/>
          <w:sz w:val="32"/>
          <w:szCs w:val="32"/>
        </w:rPr>
        <w:t>坚持教育优先发展，累计投入约8亿元，新（改）建孝仪中学、淮海小学、蒲黄小学等12所学校，近20万平方米。教育改革成果丰硕，推行“校长职级制”，在全市率先实施“区管校聘”管理，建立激励机制，协同蚌埠二中、北师大附校等优质资源，联合办学成效显著。民办教育快速发展，北师大附属学校在校生规模近万人，连续三年本科达线率超90%。安徽财经大学商学院成功转设蚌埠工商学院，开设本科专业18个，在校生6500余人，办学规模市辖区第一。禹会区先后荣获全省“教育强区”“国家级责任督学挂牌督导工作创新区”等荣誉称号。</w:t>
      </w:r>
    </w:p>
    <w:p w14:paraId="07479AC0">
      <w:pPr>
        <w:spacing w:line="620" w:lineRule="exact"/>
        <w:ind w:firstLine="643" w:firstLineChars="200"/>
        <w:rPr>
          <w:rFonts w:eastAsia="仿宋_GB2312"/>
          <w:color w:val="FF0000"/>
          <w:sz w:val="32"/>
          <w:szCs w:val="32"/>
        </w:rPr>
      </w:pPr>
      <w:r>
        <w:rPr>
          <w:rFonts w:hint="eastAsia" w:ascii="仿宋_GB2312" w:hAnsi="仿宋" w:eastAsia="仿宋_GB2312" w:cs="仿宋"/>
          <w:b/>
          <w:bCs/>
          <w:kern w:val="0"/>
          <w:sz w:val="32"/>
          <w:szCs w:val="32"/>
        </w:rPr>
        <w:t>卫生及其他事业加快发展。</w:t>
      </w:r>
      <w:r>
        <w:rPr>
          <w:rFonts w:ascii="仿宋_GB2312" w:hAnsi="仿宋" w:eastAsia="仿宋_GB2312" w:cs="仿宋"/>
          <w:kern w:val="0"/>
          <w:sz w:val="32"/>
          <w:szCs w:val="32"/>
        </w:rPr>
        <w:t>成功创建国家卫生城市</w:t>
      </w:r>
      <w:r>
        <w:rPr>
          <w:rFonts w:hint="eastAsia" w:ascii="仿宋_GB2312" w:hAnsi="仿宋" w:eastAsia="仿宋_GB2312" w:cs="仿宋"/>
          <w:kern w:val="0"/>
          <w:sz w:val="32"/>
          <w:szCs w:val="32"/>
        </w:rPr>
        <w:t>。马城中心卫生院成为我市首批全国“优质服务基层行”创建单位,获评国家“群众满意的乡镇卫生院”。喜迎门社区卫生服务中心被评为“省级医养结合示范中心”。长青乡入选全省首批“健康小镇”。文化惠民工程扎实推进，投入近700万元建成马城镇、长青乡等6个综合文化站和62个基层综合文化服务中心，马城镇获评“2018-2020年度中国民间文化艺术之乡”</w:t>
      </w:r>
      <w:r>
        <w:rPr>
          <w:rFonts w:hint="eastAsia" w:eastAsia="仿宋_GB2312"/>
          <w:color w:val="000000"/>
          <w:sz w:val="32"/>
          <w:szCs w:val="32"/>
        </w:rPr>
        <w:t>，</w:t>
      </w:r>
      <w:r>
        <w:rPr>
          <w:rFonts w:eastAsia="仿宋_GB2312"/>
          <w:color w:val="000000"/>
          <w:sz w:val="32"/>
          <w:szCs w:val="32"/>
        </w:rPr>
        <w:t>国家公共文化服务体系示范区成功创建。</w:t>
      </w:r>
      <w:r>
        <w:rPr>
          <w:rFonts w:ascii="仿宋_GB2312" w:hAnsi="仿宋" w:eastAsia="仿宋_GB2312" w:cs="仿宋"/>
          <w:kern w:val="0"/>
          <w:sz w:val="32"/>
          <w:szCs w:val="32"/>
        </w:rPr>
        <w:t>禹会村遗址考古又</w:t>
      </w:r>
      <w:r>
        <w:rPr>
          <w:rFonts w:hint="eastAsia" w:ascii="仿宋_GB2312" w:hAnsi="仿宋" w:eastAsia="仿宋_GB2312" w:cs="仿宋"/>
          <w:kern w:val="0"/>
          <w:sz w:val="32"/>
          <w:szCs w:val="32"/>
        </w:rPr>
        <w:t>获</w:t>
      </w:r>
      <w:r>
        <w:rPr>
          <w:rFonts w:ascii="仿宋_GB2312" w:hAnsi="仿宋" w:eastAsia="仿宋_GB2312" w:cs="仿宋"/>
          <w:kern w:val="0"/>
          <w:sz w:val="32"/>
          <w:szCs w:val="32"/>
        </w:rPr>
        <w:t>重大发现</w:t>
      </w:r>
      <w:r>
        <w:rPr>
          <w:rFonts w:hint="eastAsia" w:ascii="仿宋_GB2312" w:hAnsi="仿宋" w:eastAsia="仿宋_GB2312" w:cs="仿宋"/>
          <w:kern w:val="0"/>
          <w:sz w:val="32"/>
          <w:szCs w:val="32"/>
        </w:rPr>
        <w:t>，</w:t>
      </w:r>
      <w:r>
        <w:rPr>
          <w:rFonts w:ascii="仿宋_GB2312" w:hAnsi="仿宋" w:eastAsia="仿宋_GB2312" w:cs="仿宋"/>
          <w:kern w:val="0"/>
          <w:sz w:val="32"/>
          <w:szCs w:val="32"/>
        </w:rPr>
        <w:t>淮河中游地区规模最大、级别最高的龙山文化城址</w:t>
      </w:r>
      <w:r>
        <w:rPr>
          <w:rFonts w:hint="eastAsia" w:ascii="仿宋_GB2312" w:hAnsi="仿宋" w:eastAsia="仿宋_GB2312" w:cs="仿宋"/>
          <w:kern w:val="0"/>
          <w:sz w:val="32"/>
          <w:szCs w:val="32"/>
        </w:rPr>
        <w:t>“揭开面纱”</w:t>
      </w:r>
      <w:r>
        <w:rPr>
          <w:rFonts w:ascii="仿宋_GB2312" w:hAnsi="仿宋" w:eastAsia="仿宋_GB2312" w:cs="仿宋"/>
          <w:kern w:val="0"/>
          <w:sz w:val="32"/>
          <w:szCs w:val="32"/>
        </w:rPr>
        <w:t>。</w:t>
      </w:r>
      <w:r>
        <w:rPr>
          <w:rFonts w:hint="eastAsia" w:ascii="仿宋_GB2312" w:hAnsi="仿宋" w:eastAsia="仿宋_GB2312" w:cs="仿宋"/>
          <w:kern w:val="0"/>
          <w:sz w:val="32"/>
          <w:szCs w:val="32"/>
        </w:rPr>
        <w:t>张公山退役军人服务站荣获“全国示范型服务站”。民族宗教、对台、港澳、外事侨务、信访、计划生育、老龄、双拥、妇女儿童、共青团、残联等各项工作协调推进，工会、档案、消防、科普、气象等事业取得了新的成绩。</w:t>
      </w:r>
    </w:p>
    <w:p w14:paraId="4B572CD6">
      <w:pPr>
        <w:adjustRightInd w:val="0"/>
        <w:snapToGrid w:val="0"/>
        <w:spacing w:line="560" w:lineRule="exact"/>
        <w:ind w:firstLine="643" w:firstLineChars="200"/>
        <w:rPr>
          <w:rFonts w:ascii="仿宋_GB2312" w:hAnsi="仿宋" w:eastAsia="仿宋_GB2312" w:cs="仿宋"/>
          <w:kern w:val="0"/>
          <w:sz w:val="32"/>
          <w:szCs w:val="32"/>
        </w:rPr>
      </w:pPr>
      <w:r>
        <w:rPr>
          <w:rFonts w:hint="eastAsia" w:ascii="仿宋_GB2312" w:hAnsi="仿宋" w:eastAsia="仿宋_GB2312" w:cs="仿宋"/>
          <w:b/>
          <w:kern w:val="0"/>
          <w:sz w:val="32"/>
          <w:szCs w:val="32"/>
        </w:rPr>
        <w:t>社会治理全面加强。</w:t>
      </w:r>
      <w:r>
        <w:rPr>
          <w:rFonts w:ascii="仿宋_GB2312" w:hAnsi="仿宋_GB2312" w:eastAsia="仿宋_GB2312" w:cs="仿宋_GB2312"/>
          <w:sz w:val="32"/>
          <w:szCs w:val="32"/>
        </w:rPr>
        <w:t>深化“三社联动”长效机制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加强基层社会治理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实现全国双拥模范城“七连冠”</w:t>
      </w:r>
      <w:r>
        <w:rPr>
          <w:rFonts w:hint="eastAsia" w:ascii="仿宋_GB2312" w:hAnsi="仿宋_GB2312" w:eastAsia="仿宋_GB2312" w:cs="仿宋_GB2312"/>
          <w:sz w:val="32"/>
          <w:szCs w:val="32"/>
        </w:rPr>
        <w:t>。推进实施“江淮普法行”和“七五普法”终期验收，人</w:t>
      </w:r>
      <w:r>
        <w:rPr>
          <w:rFonts w:hint="eastAsia" w:ascii="仿宋_GB2312" w:hAnsi="仿宋" w:eastAsia="仿宋_GB2312" w:cs="仿宋"/>
          <w:kern w:val="0"/>
          <w:sz w:val="32"/>
          <w:szCs w:val="32"/>
        </w:rPr>
        <w:t>民调解、司法调解、警民联调成效明显，长青乡人民调解委员会被司法部授予“全国模范人民调解委员会”荣誉称号。大力推进“平安禹会”建设，扫黑除恶专项斗争战果丰硕，群众安全感位居全市第一。区法院探索“法院+”模式，优化知识产权多元化纠纷解决机制，效果明显。区检察院层层压实检察官责任，工作质效有了明显提升。区人武部第二次获评省军区“全面建设先进单位”。</w:t>
      </w:r>
    </w:p>
    <w:p w14:paraId="5D02B19E">
      <w:pPr>
        <w:adjustRightInd w:val="0"/>
        <w:snapToGrid w:val="0"/>
        <w:spacing w:line="560" w:lineRule="exact"/>
        <w:ind w:firstLine="640" w:firstLineChars="200"/>
        <w:rPr>
          <w:rFonts w:ascii="仿宋_GB2312" w:hAnsi="仿宋" w:eastAsia="仿宋_GB2312" w:cs="仿宋"/>
          <w:kern w:val="0"/>
          <w:sz w:val="32"/>
          <w:szCs w:val="32"/>
        </w:rPr>
      </w:pPr>
    </w:p>
    <w:p w14:paraId="17992B2D">
      <w:pPr>
        <w:adjustRightInd w:val="0"/>
        <w:snapToGrid w:val="0"/>
        <w:spacing w:line="560" w:lineRule="exact"/>
        <w:ind w:firstLine="643" w:firstLineChars="200"/>
        <w:jc w:val="center"/>
        <w:outlineLvl w:val="1"/>
        <w:rPr>
          <w:rFonts w:ascii="楷体" w:hAnsi="楷体" w:eastAsia="楷体" w:cs="楷体"/>
          <w:b/>
          <w:sz w:val="32"/>
          <w:szCs w:val="32"/>
        </w:rPr>
      </w:pPr>
      <w:bookmarkStart w:id="19" w:name="_Toc23291"/>
      <w:bookmarkStart w:id="20" w:name="_Toc60900780"/>
      <w:bookmarkStart w:id="21" w:name="_Toc58081135"/>
      <w:r>
        <w:rPr>
          <w:rFonts w:hint="eastAsia" w:ascii="楷体" w:hAnsi="楷体" w:eastAsia="楷体" w:cs="楷体"/>
          <w:b/>
          <w:sz w:val="32"/>
          <w:szCs w:val="32"/>
        </w:rPr>
        <w:t>第二节  发展环境</w:t>
      </w:r>
      <w:bookmarkEnd w:id="19"/>
      <w:bookmarkEnd w:id="20"/>
      <w:bookmarkEnd w:id="21"/>
    </w:p>
    <w:p w14:paraId="4EFD6041">
      <w:pPr>
        <w:spacing w:line="560" w:lineRule="exact"/>
        <w:ind w:firstLine="643" w:firstLineChars="200"/>
        <w:rPr>
          <w:rFonts w:ascii="仿宋_GB2312" w:hAnsi="仿宋" w:eastAsia="仿宋_GB2312" w:cs="Times New Roman"/>
          <w:bCs/>
          <w:sz w:val="32"/>
          <w:szCs w:val="32"/>
        </w:rPr>
      </w:pPr>
      <w:r>
        <w:rPr>
          <w:rFonts w:hint="eastAsia" w:ascii="仿宋_GB2312" w:hAnsi="仿宋" w:eastAsia="仿宋_GB2312" w:cs="仿宋_GB2312"/>
          <w:b/>
          <w:sz w:val="32"/>
          <w:szCs w:val="32"/>
        </w:rPr>
        <w:t>从国际看，世界正面临百年未有之大变局。</w:t>
      </w:r>
      <w:r>
        <w:rPr>
          <w:rFonts w:hint="eastAsia" w:ascii="仿宋_GB2312" w:hAnsi="仿宋" w:eastAsia="仿宋_GB2312" w:cs="仿宋_GB2312"/>
          <w:sz w:val="32"/>
          <w:szCs w:val="32"/>
        </w:rPr>
        <w:t>国际环境日趋复杂，国家间竞争博弈愈发激烈，叠加新冠疫情仍在全球蔓延扩散，将一定程度影响经济增长。要素成本更低的东南亚国家承接中低端产业转移的竞争趋势明显。复杂多变的国际贸易环境与国际形势给我国外向型产业发展和转型升级带来一定的困难。但新一轮科技创新和产业变革不断涌现，将推动全球产业链、供应链、价值链和创新链加快重构，孕育着新的发展机遇。</w:t>
      </w:r>
    </w:p>
    <w:p w14:paraId="1D9986B8">
      <w:pPr>
        <w:spacing w:line="560" w:lineRule="exact"/>
        <w:ind w:firstLine="643" w:firstLineChars="200"/>
        <w:rPr>
          <w:rFonts w:ascii="仿宋_GB2312" w:hAnsi="仿宋" w:eastAsia="仿宋_GB2312" w:cs="仿宋_GB2312"/>
          <w:sz w:val="32"/>
          <w:szCs w:val="32"/>
        </w:rPr>
      </w:pPr>
      <w:r>
        <w:rPr>
          <w:rFonts w:hint="eastAsia" w:ascii="仿宋_GB2312" w:hAnsi="仿宋" w:eastAsia="仿宋_GB2312" w:cs="仿宋_GB2312"/>
          <w:b/>
          <w:sz w:val="32"/>
          <w:szCs w:val="32"/>
        </w:rPr>
        <w:t>从国内看，高质量发展是经济社会发展的主基调。</w:t>
      </w:r>
      <w:r>
        <w:rPr>
          <w:rFonts w:hint="eastAsia" w:ascii="仿宋_GB2312" w:hAnsi="仿宋" w:eastAsia="仿宋_GB2312" w:cs="Times New Roman"/>
          <w:sz w:val="32"/>
          <w:szCs w:val="32"/>
        </w:rPr>
        <w:t>当前和今后一个时期，我国发展仍然处于重要战略机遇期。我国制度优势显著，物质基础雄厚，内需旺盛，发展韧性强劲，经济社会发展将长期向好，社会大局稳定。</w:t>
      </w:r>
      <w:r>
        <w:rPr>
          <w:rFonts w:hint="eastAsia" w:ascii="仿宋_GB2312" w:hAnsi="仿宋" w:eastAsia="仿宋_GB2312" w:cs="仿宋_GB2312"/>
          <w:sz w:val="32"/>
          <w:szCs w:val="32"/>
        </w:rPr>
        <w:t>在构建以国内大循环为主体、国内国际双循环相互促进的新发展格局中，长三角区域一体化协同发展、自贸试验区的先试先行、淮河生态经济带建设等战略向纵深推进，都</w:t>
      </w:r>
      <w:r>
        <w:rPr>
          <w:rFonts w:hint="eastAsia" w:ascii="仿宋_GB2312" w:hAnsi="仿宋" w:eastAsia="仿宋_GB2312" w:cs="Times New Roman"/>
          <w:sz w:val="32"/>
          <w:szCs w:val="32"/>
        </w:rPr>
        <w:t>给我区在承接产业转移、加速产业延伸等方面带来前所未有的发展机遇</w:t>
      </w:r>
      <w:r>
        <w:rPr>
          <w:rFonts w:hint="eastAsia" w:ascii="仿宋_GB2312" w:hAnsi="仿宋" w:eastAsia="仿宋_GB2312" w:cs="仿宋_GB2312"/>
          <w:sz w:val="32"/>
          <w:szCs w:val="32"/>
        </w:rPr>
        <w:t>。</w:t>
      </w:r>
    </w:p>
    <w:p w14:paraId="6779A30F">
      <w:pPr>
        <w:spacing w:line="560" w:lineRule="exact"/>
        <w:ind w:firstLine="643" w:firstLineChars="200"/>
        <w:rPr>
          <w:rFonts w:ascii="仿宋_GB2312" w:hAnsi="仿宋" w:eastAsia="仿宋_GB2312" w:cs="仿宋_GB2312"/>
          <w:b/>
          <w:sz w:val="32"/>
          <w:szCs w:val="32"/>
        </w:rPr>
      </w:pPr>
      <w:r>
        <w:rPr>
          <w:rFonts w:hint="eastAsia" w:ascii="仿宋_GB2312" w:hAnsi="仿宋" w:eastAsia="仿宋_GB2312" w:cs="仿宋_GB2312"/>
          <w:b/>
          <w:sz w:val="32"/>
          <w:szCs w:val="32"/>
        </w:rPr>
        <w:t>从自身看，西部城区的综合开发孕育着“后发”机遇。</w:t>
      </w:r>
      <w:r>
        <w:rPr>
          <w:rFonts w:hint="eastAsia" w:ascii="仿宋_GB2312" w:hAnsi="仿宋" w:eastAsia="仿宋_GB2312" w:cs="仿宋"/>
          <w:color w:val="000000" w:themeColor="text1"/>
          <w:sz w:val="32"/>
          <w:szCs w:val="32"/>
          <w:shd w:val="clear" w:color="auto" w:fill="FFFFFF"/>
        </w:rPr>
        <w:t>纵观全市，蚌埠向东向南已与凤阳“握手”，扩展城市空间，加速人口集聚，西向发展乃大势所趋。禹会</w:t>
      </w:r>
      <w:r>
        <w:rPr>
          <w:rFonts w:hint="eastAsia" w:ascii="仿宋_GB2312" w:hAnsi="仿宋" w:eastAsia="仿宋_GB2312" w:cs="Times New Roman"/>
          <w:sz w:val="32"/>
          <w:szCs w:val="32"/>
        </w:rPr>
        <w:t>正面临“产业重构、新城再造”的窗口期，发展压力虽大但发展空间更足、机遇更多。</w:t>
      </w:r>
      <w:r>
        <w:rPr>
          <w:rFonts w:hint="eastAsia" w:ascii="仿宋_GB2312" w:hAnsi="仿宋" w:eastAsia="仿宋_GB2312" w:cs="仿宋_GB2312"/>
          <w:sz w:val="32"/>
          <w:szCs w:val="32"/>
        </w:rPr>
        <w:t>现如今，</w:t>
      </w:r>
      <w:r>
        <w:rPr>
          <w:rFonts w:hint="eastAsia" w:ascii="仿宋_GB2312" w:hAnsi="仿宋" w:eastAsia="仿宋_GB2312" w:cs="仿宋_GB2312"/>
          <w:b/>
          <w:sz w:val="32"/>
          <w:szCs w:val="32"/>
        </w:rPr>
        <w:t>政策优势叠加。</w:t>
      </w:r>
      <w:r>
        <w:rPr>
          <w:rFonts w:hint="eastAsia" w:ascii="仿宋_GB2312" w:hAnsi="仿宋" w:eastAsia="仿宋_GB2312" w:cs="仿宋_GB2312"/>
          <w:sz w:val="32"/>
          <w:szCs w:val="32"/>
        </w:rPr>
        <w:t>参与长三角一体化建设的共建共享、享受自贸区的先试先行、合芜蚌国家自主创新试验区、老工业区改造的政策扶持，集众多利好政策于一身。</w:t>
      </w:r>
      <w:r>
        <w:rPr>
          <w:rFonts w:hint="eastAsia" w:ascii="仿宋_GB2312" w:hAnsi="仿宋" w:eastAsia="仿宋_GB2312" w:cs="仿宋_GB2312"/>
          <w:b/>
          <w:sz w:val="32"/>
          <w:szCs w:val="32"/>
        </w:rPr>
        <w:t>创新模式成熟。</w:t>
      </w:r>
      <w:r>
        <w:rPr>
          <w:rFonts w:hint="eastAsia" w:ascii="仿宋_GB2312" w:hAnsi="仿宋" w:eastAsia="仿宋_GB2312" w:cs="仿宋_GB2312"/>
          <w:sz w:val="32"/>
          <w:szCs w:val="32"/>
        </w:rPr>
        <w:t>成熟的“基金+基地”模式，未来3年将建成200万平方米厂房和8万平方米研发中心；禹投集团参股和壮、和泰等基金都是优质的招商平台；全区国家级研发中心、博士后工作站、院士工作站等众多的科技平台，都将成为企业发展的助推器。</w:t>
      </w:r>
      <w:r>
        <w:rPr>
          <w:rFonts w:hint="eastAsia" w:ascii="仿宋_GB2312" w:hAnsi="仿宋" w:eastAsia="仿宋_GB2312" w:cs="仿宋_GB2312"/>
          <w:b/>
          <w:sz w:val="32"/>
          <w:szCs w:val="32"/>
        </w:rPr>
        <w:t>区位优势明显。</w:t>
      </w:r>
      <w:r>
        <w:rPr>
          <w:rFonts w:hint="eastAsia" w:ascii="仿宋_GB2312" w:hAnsi="仿宋" w:eastAsia="仿宋_GB2312" w:cs="仿宋_GB2312"/>
          <w:sz w:val="32"/>
          <w:szCs w:val="32"/>
        </w:rPr>
        <w:t>在全市层面推进蚌埠“西融”战略已列入日程，借力引江济淮、跨天河通道和中宏码头等项目建设及最美“荆涂淮河湾”的打造，马城区域的战略地位进一步凸显，更有主城区10平方公里的退市进园区域成熟的城市发展净空间，这都是我们逐梦“十四五”的宝贵资源和广阔舞台。</w:t>
      </w:r>
    </w:p>
    <w:p w14:paraId="29EDC885">
      <w:pPr>
        <w:widowControl/>
        <w:jc w:val="left"/>
        <w:rPr>
          <w:rFonts w:ascii="黑体" w:hAnsi="黑体" w:eastAsia="黑体" w:cs="Times New Roman"/>
          <w:bCs/>
          <w:sz w:val="32"/>
          <w:szCs w:val="32"/>
        </w:rPr>
      </w:pPr>
      <w:bookmarkStart w:id="22" w:name="_Toc6915"/>
      <w:bookmarkStart w:id="23" w:name="_Toc58081136"/>
      <w:r>
        <w:rPr>
          <w:rFonts w:ascii="黑体" w:hAnsi="黑体" w:eastAsia="黑体" w:cs="Times New Roman"/>
          <w:bCs/>
          <w:sz w:val="32"/>
          <w:szCs w:val="32"/>
        </w:rPr>
        <w:br w:type="page"/>
      </w:r>
    </w:p>
    <w:p w14:paraId="1C85C5F2">
      <w:pPr>
        <w:adjustRightInd w:val="0"/>
        <w:snapToGrid w:val="0"/>
        <w:spacing w:line="560" w:lineRule="exact"/>
        <w:jc w:val="center"/>
        <w:outlineLvl w:val="0"/>
        <w:rPr>
          <w:rFonts w:ascii="黑体" w:hAnsi="黑体" w:eastAsia="黑体" w:cs="Times New Roman"/>
          <w:bCs/>
          <w:sz w:val="32"/>
          <w:szCs w:val="32"/>
        </w:rPr>
      </w:pPr>
      <w:bookmarkStart w:id="24" w:name="_Toc60900781"/>
      <w:r>
        <w:rPr>
          <w:rFonts w:hint="eastAsia" w:ascii="黑体" w:hAnsi="黑体" w:eastAsia="黑体" w:cs="Times New Roman"/>
          <w:bCs/>
          <w:sz w:val="32"/>
          <w:szCs w:val="32"/>
        </w:rPr>
        <w:t>第二章</w:t>
      </w:r>
      <w:bookmarkEnd w:id="22"/>
      <w:bookmarkEnd w:id="23"/>
      <w:r>
        <w:rPr>
          <w:rFonts w:hint="eastAsia" w:ascii="黑体" w:hAnsi="黑体" w:eastAsia="黑体" w:cs="Times New Roman"/>
          <w:bCs/>
          <w:sz w:val="32"/>
          <w:szCs w:val="32"/>
        </w:rPr>
        <w:t xml:space="preserve">  指导思想、发展原则、总体布局与发展目标</w:t>
      </w:r>
      <w:bookmarkEnd w:id="24"/>
    </w:p>
    <w:p w14:paraId="466BD595">
      <w:pPr>
        <w:adjustRightInd w:val="0"/>
        <w:snapToGrid w:val="0"/>
        <w:spacing w:line="560" w:lineRule="exact"/>
        <w:jc w:val="center"/>
        <w:outlineLvl w:val="1"/>
        <w:rPr>
          <w:rFonts w:ascii="楷体" w:hAnsi="楷体" w:eastAsia="楷体" w:cs="楷体"/>
          <w:b/>
          <w:sz w:val="32"/>
          <w:szCs w:val="32"/>
        </w:rPr>
      </w:pPr>
      <w:bookmarkStart w:id="25" w:name="_Toc30903"/>
      <w:bookmarkStart w:id="26" w:name="_Toc31318"/>
      <w:bookmarkStart w:id="27" w:name="_Toc58081137"/>
    </w:p>
    <w:p w14:paraId="31E2A4C4">
      <w:pPr>
        <w:adjustRightInd w:val="0"/>
        <w:snapToGrid w:val="0"/>
        <w:spacing w:line="560" w:lineRule="exact"/>
        <w:jc w:val="center"/>
        <w:outlineLvl w:val="1"/>
        <w:rPr>
          <w:rFonts w:ascii="楷体" w:hAnsi="楷体" w:eastAsia="楷体" w:cs="楷体"/>
          <w:b/>
          <w:sz w:val="32"/>
          <w:szCs w:val="32"/>
        </w:rPr>
      </w:pPr>
      <w:bookmarkStart w:id="28" w:name="_Toc60900782"/>
      <w:r>
        <w:rPr>
          <w:rFonts w:hint="eastAsia" w:ascii="楷体" w:hAnsi="楷体" w:eastAsia="楷体" w:cs="楷体"/>
          <w:b/>
          <w:sz w:val="32"/>
          <w:szCs w:val="32"/>
        </w:rPr>
        <w:t>第一节  指导思想</w:t>
      </w:r>
      <w:bookmarkEnd w:id="25"/>
      <w:bookmarkEnd w:id="26"/>
      <w:bookmarkEnd w:id="27"/>
      <w:bookmarkEnd w:id="28"/>
    </w:p>
    <w:p w14:paraId="4D2A9C6B">
      <w:pPr>
        <w:spacing w:line="560" w:lineRule="exact"/>
        <w:ind w:firstLine="640" w:firstLineChars="200"/>
        <w:rPr>
          <w:rFonts w:ascii="仿宋_GB2312" w:hAnsi="仿宋" w:eastAsia="仿宋_GB2312" w:cs="仿宋_GB2312"/>
          <w:sz w:val="32"/>
          <w:szCs w:val="32"/>
        </w:rPr>
      </w:pPr>
      <w:bookmarkStart w:id="29" w:name="_Toc9667"/>
      <w:bookmarkStart w:id="30" w:name="_Toc12766"/>
      <w:bookmarkStart w:id="31" w:name="_Toc3343"/>
      <w:bookmarkStart w:id="32" w:name="_Toc976"/>
      <w:bookmarkStart w:id="33" w:name="_Toc13800"/>
      <w:r>
        <w:rPr>
          <w:rFonts w:hint="eastAsia" w:ascii="仿宋_GB2312" w:hAnsi="仿宋" w:eastAsia="仿宋_GB2312" w:cs="宋体"/>
          <w:bCs/>
          <w:sz w:val="32"/>
          <w:szCs w:val="32"/>
        </w:rPr>
        <w:t>高举中国特色社会主义伟大旗帜，坚持以马克思列宁主义、毛泽东思想、邓小平理论、“三个代表”重要思想、科学发展观、习近平新时代中国特色社会主义思想为指导，深入贯彻党的十九大和十九届二中、三中、四中、五中全会精神，深入学习贯彻习近平总书记考察安徽重要讲话精神，全面贯彻落实党的基本理论、基本路线、基本方略，统筹推进经济建设、政治建设、文化建设、社会建设、生态文明建设的总体布局，坚定不移贯彻创新、协调、绿色、开放、共享的新发展理念，坚持稳中求进工作总基调，以推动高质量发展为主题，以改革创新为根本动力，以满足人民日益增长的美好生活需要为根本目的，在以国内大循环为主体、国内国际双循环相互促进的新发展格局中，</w:t>
      </w:r>
      <w:bookmarkEnd w:id="29"/>
      <w:bookmarkEnd w:id="30"/>
      <w:bookmarkEnd w:id="31"/>
      <w:bookmarkEnd w:id="32"/>
      <w:bookmarkEnd w:id="33"/>
      <w:bookmarkStart w:id="34" w:name="_Toc5189"/>
      <w:r>
        <w:rPr>
          <w:rFonts w:hint="eastAsia" w:ascii="仿宋_GB2312" w:hAnsi="仿宋" w:eastAsia="仿宋_GB2312" w:cs="宋体"/>
          <w:bCs/>
          <w:sz w:val="32"/>
          <w:szCs w:val="32"/>
        </w:rPr>
        <w:t>抢抓长三角一体化建设战略机遇，借助自贸区先试先行，坚持工业强区战略不动摇，奋力在构建禹会新发展格局中实现更大作为，在加快建设新时代美好禹会上取得新的更大进展！</w:t>
      </w:r>
      <w:r>
        <w:rPr>
          <w:rFonts w:hint="eastAsia" w:ascii="仿宋_GB2312" w:hAnsi="仿宋" w:eastAsia="仿宋_GB2312" w:cs="仿宋_GB2312"/>
          <w:sz w:val="32"/>
          <w:szCs w:val="32"/>
        </w:rPr>
        <w:t xml:space="preserve"> </w:t>
      </w:r>
    </w:p>
    <w:bookmarkEnd w:id="34"/>
    <w:p w14:paraId="0E1A82E2">
      <w:pPr>
        <w:adjustRightInd w:val="0"/>
        <w:snapToGrid w:val="0"/>
        <w:spacing w:line="560" w:lineRule="exact"/>
        <w:ind w:firstLine="643" w:firstLineChars="200"/>
        <w:jc w:val="center"/>
        <w:outlineLvl w:val="1"/>
        <w:rPr>
          <w:rFonts w:ascii="楷体" w:hAnsi="楷体" w:eastAsia="楷体" w:cs="楷体"/>
          <w:b/>
          <w:sz w:val="32"/>
          <w:szCs w:val="32"/>
        </w:rPr>
      </w:pPr>
      <w:bookmarkStart w:id="35" w:name="_Toc50278163"/>
      <w:bookmarkStart w:id="36" w:name="_Toc58081138"/>
      <w:bookmarkStart w:id="37" w:name="_Toc26507"/>
    </w:p>
    <w:p w14:paraId="6768D328">
      <w:pPr>
        <w:adjustRightInd w:val="0"/>
        <w:snapToGrid w:val="0"/>
        <w:spacing w:line="560" w:lineRule="exact"/>
        <w:ind w:firstLine="643" w:firstLineChars="200"/>
        <w:jc w:val="center"/>
        <w:outlineLvl w:val="1"/>
        <w:rPr>
          <w:rFonts w:ascii="楷体" w:hAnsi="楷体" w:eastAsia="楷体" w:cs="楷体"/>
          <w:b/>
          <w:sz w:val="32"/>
          <w:szCs w:val="32"/>
        </w:rPr>
      </w:pPr>
      <w:bookmarkStart w:id="38" w:name="_Toc60900783"/>
      <w:r>
        <w:rPr>
          <w:rFonts w:hint="eastAsia" w:ascii="楷体" w:hAnsi="楷体" w:eastAsia="楷体" w:cs="楷体"/>
          <w:b/>
          <w:sz w:val="32"/>
          <w:szCs w:val="32"/>
        </w:rPr>
        <w:t>第二节  发展</w:t>
      </w:r>
      <w:bookmarkEnd w:id="35"/>
      <w:r>
        <w:rPr>
          <w:rFonts w:hint="eastAsia" w:ascii="楷体" w:hAnsi="楷体" w:eastAsia="楷体" w:cs="楷体"/>
          <w:b/>
          <w:sz w:val="32"/>
          <w:szCs w:val="32"/>
        </w:rPr>
        <w:t>原则</w:t>
      </w:r>
      <w:bookmarkEnd w:id="36"/>
      <w:bookmarkEnd w:id="37"/>
      <w:bookmarkEnd w:id="38"/>
    </w:p>
    <w:p w14:paraId="2B71961D">
      <w:pPr>
        <w:spacing w:line="560" w:lineRule="exact"/>
        <w:ind w:firstLine="643" w:firstLineChars="200"/>
        <w:rPr>
          <w:rFonts w:ascii="仿宋_GB2312" w:hAnsi="仿宋_GB2312" w:eastAsia="仿宋_GB2312" w:cs="仿宋_GB2312"/>
          <w:sz w:val="32"/>
          <w:szCs w:val="32"/>
        </w:rPr>
      </w:pPr>
      <w:r>
        <w:rPr>
          <w:rFonts w:hint="eastAsia" w:ascii="仿宋_GB2312" w:hAnsi="宋体" w:eastAsia="仿宋_GB2312" w:cs="宋体"/>
          <w:b/>
          <w:sz w:val="32"/>
          <w:szCs w:val="32"/>
        </w:rPr>
        <w:t>——</w:t>
      </w:r>
      <w:r>
        <w:rPr>
          <w:rFonts w:hint="eastAsia" w:ascii="仿宋_GB2312" w:hAnsi="仿宋_GB2312" w:eastAsia="仿宋_GB2312" w:cs="仿宋_GB2312"/>
          <w:b/>
          <w:sz w:val="32"/>
          <w:szCs w:val="32"/>
        </w:rPr>
        <w:t>坚持党的全面领导。</w:t>
      </w:r>
      <w:r>
        <w:rPr>
          <w:rFonts w:hint="eastAsia" w:ascii="仿宋_GB2312" w:hAnsi="仿宋_GB2312" w:eastAsia="仿宋_GB2312" w:cs="仿宋_GB2312"/>
          <w:sz w:val="32"/>
          <w:szCs w:val="32"/>
        </w:rPr>
        <w:t>坚持和完善党领导经济社会发展的体制机制，不断提高贯彻新发展理念、构建新发展格局的能力和水平，坚持“工业强区”不动摇，激发广大干部群众干事创业的积极性、主动性、创造性，为实现禹会高质量发展提供根本保证。</w:t>
      </w:r>
    </w:p>
    <w:p w14:paraId="4931496C">
      <w:pPr>
        <w:spacing w:line="560" w:lineRule="exact"/>
        <w:ind w:firstLine="643" w:firstLineChars="200"/>
        <w:rPr>
          <w:rFonts w:ascii="仿宋_GB2312" w:hAnsi="仿宋_GB2312" w:eastAsia="仿宋_GB2312" w:cs="仿宋_GB2312"/>
          <w:sz w:val="32"/>
          <w:szCs w:val="32"/>
        </w:rPr>
      </w:pPr>
      <w:r>
        <w:rPr>
          <w:rFonts w:hint="eastAsia" w:ascii="仿宋_GB2312" w:hAnsi="宋体" w:eastAsia="仿宋_GB2312" w:cs="宋体"/>
          <w:b/>
          <w:sz w:val="32"/>
          <w:szCs w:val="32"/>
        </w:rPr>
        <w:t>——坚持以人民为中心。</w:t>
      </w:r>
      <w:r>
        <w:rPr>
          <w:rFonts w:hint="eastAsia" w:ascii="仿宋_GB2312" w:hAnsi="仿宋_GB2312" w:eastAsia="仿宋_GB2312" w:cs="仿宋_GB2312"/>
          <w:sz w:val="32"/>
          <w:szCs w:val="32"/>
        </w:rPr>
        <w:t>坚持人民主体地位，始终做到发展为了人民、发展依靠人民、发展成果由人民共享，顺应民心、尊重民意、关注民情，加快推进西部城区综合开发，补齐民生短板，增进民生福祉，不断提升人民群众获得感、幸福感、安全感。</w:t>
      </w:r>
    </w:p>
    <w:p w14:paraId="13E09612">
      <w:pPr>
        <w:spacing w:line="560" w:lineRule="exact"/>
        <w:ind w:firstLine="643" w:firstLineChars="200"/>
        <w:rPr>
          <w:rFonts w:ascii="仿宋_GB2312" w:hAnsi="仿宋_GB2312" w:eastAsia="仿宋_GB2312" w:cs="仿宋_GB2312"/>
          <w:sz w:val="32"/>
          <w:szCs w:val="32"/>
        </w:rPr>
      </w:pPr>
      <w:r>
        <w:rPr>
          <w:rFonts w:hint="eastAsia" w:ascii="仿宋_GB2312" w:hAnsi="宋体" w:eastAsia="仿宋_GB2312" w:cs="宋体"/>
          <w:b/>
          <w:sz w:val="32"/>
          <w:szCs w:val="32"/>
        </w:rPr>
        <w:t>——坚持新发展理念。</w:t>
      </w:r>
      <w:r>
        <w:rPr>
          <w:rFonts w:hint="eastAsia" w:ascii="仿宋_GB2312" w:hAnsi="仿宋_GB2312" w:eastAsia="仿宋_GB2312" w:cs="仿宋_GB2312"/>
          <w:sz w:val="32"/>
          <w:szCs w:val="32"/>
        </w:rPr>
        <w:t>把新发展理念贯穿新阶段现代化美好禹会建设全过程和各领域，服务全市构建新发展格局，切实转变发展方式，推动质量变革、效率变革、动力变革，实现更高质量、更有效率、更加公平、更可持续、更为安全的发展，为蚌埠“两个中心”建设贡献力量。</w:t>
      </w:r>
    </w:p>
    <w:p w14:paraId="29FDB1C2">
      <w:pPr>
        <w:spacing w:line="560" w:lineRule="exact"/>
        <w:ind w:firstLine="643" w:firstLineChars="200"/>
        <w:rPr>
          <w:rFonts w:ascii="仿宋_GB2312" w:hAnsi="仿宋_GB2312" w:eastAsia="仿宋_GB2312" w:cs="仿宋_GB2312"/>
          <w:sz w:val="32"/>
          <w:szCs w:val="32"/>
        </w:rPr>
      </w:pPr>
      <w:r>
        <w:rPr>
          <w:rFonts w:hint="eastAsia" w:ascii="仿宋_GB2312" w:hAnsi="宋体" w:eastAsia="仿宋_GB2312" w:cs="宋体"/>
          <w:b/>
          <w:sz w:val="32"/>
          <w:szCs w:val="32"/>
        </w:rPr>
        <w:t>——坚持创新核心地位。</w:t>
      </w:r>
      <w:r>
        <w:rPr>
          <w:rFonts w:hint="eastAsia" w:ascii="仿宋_GB2312" w:hAnsi="仿宋_GB2312" w:eastAsia="仿宋_GB2312" w:cs="仿宋_GB2312"/>
          <w:sz w:val="32"/>
          <w:szCs w:val="32"/>
        </w:rPr>
        <w:t>以改革创新为根本动力，把发展基点放在创新上,深入实施创新驱动发展战略，发挥辖区大院大所、龙头企业作用，加快推进以科技创新、产业创新为核心的全面创新，催生新发展动能。坚定不移推进深化改革，激发创新发展活力,扩大高水平开放，打造合作竞争新优势，持续增强发展动力，努力实现更多“从0到1”的突破。</w:t>
      </w:r>
    </w:p>
    <w:p w14:paraId="093F340A">
      <w:pPr>
        <w:spacing w:line="560" w:lineRule="exact"/>
        <w:ind w:firstLine="643" w:firstLineChars="200"/>
        <w:rPr>
          <w:rFonts w:ascii="仿宋_GB2312" w:hAnsi="仿宋_GB2312" w:eastAsia="仿宋_GB2312" w:cs="仿宋_GB2312"/>
          <w:sz w:val="32"/>
          <w:szCs w:val="32"/>
        </w:rPr>
      </w:pPr>
      <w:r>
        <w:rPr>
          <w:rFonts w:hint="eastAsia" w:ascii="仿宋_GB2312" w:hAnsi="宋体" w:eastAsia="仿宋_GB2312" w:cs="宋体"/>
          <w:b/>
          <w:sz w:val="32"/>
          <w:szCs w:val="32"/>
        </w:rPr>
        <w:t>——坚持深化改革开放。</w:t>
      </w:r>
      <w:r>
        <w:rPr>
          <w:rFonts w:hint="eastAsia" w:ascii="仿宋_GB2312" w:hAnsi="仿宋_GB2312" w:eastAsia="仿宋_GB2312" w:cs="仿宋_GB2312"/>
          <w:sz w:val="32"/>
          <w:szCs w:val="32"/>
        </w:rPr>
        <w:t>坚定不移推进改革、扩大开放，主动融入国家、省、市区域重大战略，把握自贸区建设先试先行机遇，突显港口优势，扩大对外开放，做大对外贸易。加强治理体系和治理能力现代化建设，提高资源配置效率、推动重大改革开放举措在禹会落地生根，持续增强发展动力和活力。</w:t>
      </w:r>
    </w:p>
    <w:p w14:paraId="71BB19AD">
      <w:pPr>
        <w:spacing w:line="560" w:lineRule="exact"/>
        <w:ind w:firstLine="643" w:firstLineChars="200"/>
        <w:rPr>
          <w:rFonts w:ascii="仿宋_GB2312" w:hAnsi="仿宋_GB2312" w:eastAsia="仿宋_GB2312" w:cs="仿宋_GB2312"/>
          <w:sz w:val="32"/>
          <w:szCs w:val="32"/>
        </w:rPr>
      </w:pPr>
      <w:r>
        <w:rPr>
          <w:rFonts w:hint="eastAsia" w:ascii="仿宋_GB2312" w:hAnsi="宋体" w:eastAsia="仿宋_GB2312" w:cs="宋体"/>
          <w:b/>
          <w:sz w:val="32"/>
          <w:szCs w:val="32"/>
        </w:rPr>
        <w:t>——坚持系统观念。</w:t>
      </w:r>
      <w:r>
        <w:rPr>
          <w:rFonts w:hint="eastAsia" w:ascii="仿宋_GB2312" w:hAnsi="仿宋_GB2312" w:eastAsia="仿宋_GB2312" w:cs="仿宋_GB2312"/>
          <w:sz w:val="32"/>
          <w:szCs w:val="32"/>
        </w:rPr>
        <w:t>加强前瞻性思考、全局性谋划、战略性布局、整体性推进，统筹发展与安全，全面推进全区经济社会发展。坚持全国一盘棋、长三角一体化，抢抓发展机遇，体现禹会作为，着力固根基、补短板、强弱项，服务发展大局，全面协调推进社会主义现代化建设，强化底线思维，着力防范化解重大风险挑战。</w:t>
      </w:r>
    </w:p>
    <w:p w14:paraId="2B990735">
      <w:pPr>
        <w:adjustRightInd w:val="0"/>
        <w:snapToGrid w:val="0"/>
        <w:spacing w:line="560" w:lineRule="exact"/>
        <w:ind w:firstLine="640" w:firstLineChars="200"/>
        <w:rPr>
          <w:rFonts w:ascii="仿宋_GB2312" w:hAnsi="仿宋" w:eastAsia="仿宋_GB2312" w:cs="宋体"/>
          <w:kern w:val="0"/>
          <w:sz w:val="32"/>
          <w:szCs w:val="32"/>
        </w:rPr>
      </w:pPr>
    </w:p>
    <w:p w14:paraId="4C935892">
      <w:pPr>
        <w:adjustRightInd w:val="0"/>
        <w:snapToGrid w:val="0"/>
        <w:spacing w:line="560" w:lineRule="exact"/>
        <w:jc w:val="center"/>
        <w:outlineLvl w:val="1"/>
        <w:rPr>
          <w:rFonts w:ascii="楷体" w:hAnsi="楷体" w:eastAsia="楷体" w:cs="楷体"/>
          <w:b/>
          <w:sz w:val="32"/>
          <w:szCs w:val="32"/>
        </w:rPr>
      </w:pPr>
      <w:bookmarkStart w:id="39" w:name="_Toc60900784"/>
      <w:bookmarkStart w:id="40" w:name="_Toc58081139"/>
      <w:bookmarkStart w:id="41" w:name="_Toc532"/>
      <w:bookmarkStart w:id="42" w:name="_Toc50278164"/>
      <w:r>
        <w:rPr>
          <w:rFonts w:hint="eastAsia" w:ascii="楷体" w:hAnsi="楷体" w:eastAsia="楷体" w:cs="楷体"/>
          <w:b/>
          <w:sz w:val="32"/>
          <w:szCs w:val="32"/>
        </w:rPr>
        <w:t>第三节  总体布局</w:t>
      </w:r>
      <w:bookmarkEnd w:id="39"/>
      <w:bookmarkEnd w:id="40"/>
      <w:bookmarkEnd w:id="41"/>
    </w:p>
    <w:p w14:paraId="50CBDB47">
      <w:pPr>
        <w:autoSpaceDE w:val="0"/>
        <w:autoSpaceDN w:val="0"/>
        <w:adjustRightInd w:val="0"/>
        <w:snapToGrid w:val="0"/>
        <w:spacing w:line="56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“十四五”时期，我国开启全面建设社会主义现代化国家新征程，在</w:t>
      </w:r>
      <w:r>
        <w:rPr>
          <w:rFonts w:ascii="仿宋_GB2312" w:hAnsi="仿宋" w:eastAsia="仿宋_GB2312" w:cs="宋体"/>
          <w:kern w:val="0"/>
          <w:sz w:val="32"/>
          <w:szCs w:val="32"/>
        </w:rPr>
        <w:t>加快构建以国内大循环为主体、国内国际双循环相互促进的新发展格局中</w:t>
      </w:r>
      <w:r>
        <w:rPr>
          <w:rFonts w:hint="eastAsia" w:ascii="仿宋_GB2312" w:hAnsi="仿宋" w:eastAsia="仿宋_GB2312" w:cs="宋体"/>
          <w:kern w:val="0"/>
          <w:sz w:val="32"/>
          <w:szCs w:val="32"/>
        </w:rPr>
        <w:t>，坚持高质量发展、创新引领和以人民为中心的总体要求，</w:t>
      </w:r>
      <w:r>
        <w:rPr>
          <w:rFonts w:ascii="仿宋_GB2312" w:hAnsi="仿宋" w:eastAsia="仿宋_GB2312" w:cs="宋体"/>
          <w:kern w:val="0"/>
          <w:sz w:val="32"/>
          <w:szCs w:val="32"/>
        </w:rPr>
        <w:t>以深化供给侧结构性改革为主线，以改革创新为根本动力，</w:t>
      </w:r>
      <w:r>
        <w:rPr>
          <w:rFonts w:hint="eastAsia" w:ascii="仿宋_GB2312" w:hAnsi="仿宋" w:eastAsia="仿宋_GB2312" w:cs="宋体"/>
          <w:kern w:val="0"/>
          <w:sz w:val="32"/>
          <w:szCs w:val="32"/>
        </w:rPr>
        <w:t>紧紧围绕“城市更新”和“产业升级”两大目标，按照“一带引领、三核支撑”的总体布局，扎实推进“四个功能片区”建设，找准项目支撑，立起禹会“十四五”期间经济社会高质量发展的“四梁八柱”，构建“三核支撑、满天繁星”的产业格局，着力将禹会打造成“山水人文城区，科创产业高地”的城市片区，为加快蚌埠“两个中心”建设贡献力量。</w:t>
      </w:r>
    </w:p>
    <w:p w14:paraId="14063C5B">
      <w:pPr>
        <w:autoSpaceDE w:val="0"/>
        <w:autoSpaceDN w:val="0"/>
        <w:adjustRightInd w:val="0"/>
        <w:snapToGrid w:val="0"/>
        <w:spacing w:line="560" w:lineRule="exact"/>
        <w:ind w:firstLine="643" w:firstLineChars="200"/>
        <w:jc w:val="left"/>
        <w:rPr>
          <w:rFonts w:ascii="仿宋_GB2312" w:hAnsi="仿宋" w:eastAsia="仿宋_GB2312"/>
          <w:sz w:val="32"/>
          <w:szCs w:val="32"/>
        </w:rPr>
      </w:pPr>
      <w:r>
        <w:rPr>
          <w:rFonts w:hint="eastAsia" w:ascii="仿宋_GB2312" w:hAnsi="仿宋" w:eastAsia="仿宋_GB2312"/>
          <w:b/>
          <w:sz w:val="32"/>
          <w:szCs w:val="32"/>
        </w:rPr>
        <w:t>注重“一带”牵动</w:t>
      </w:r>
      <w:r>
        <w:rPr>
          <w:rFonts w:hint="eastAsia" w:ascii="仿宋_GB2312" w:hAnsi="仿宋" w:eastAsia="仿宋_GB2312"/>
          <w:sz w:val="32"/>
          <w:szCs w:val="32"/>
        </w:rPr>
        <w:t>：</w:t>
      </w:r>
      <w:r>
        <w:rPr>
          <w:rFonts w:hint="eastAsia" w:ascii="仿宋_GB2312" w:hAnsi="仿宋" w:eastAsia="仿宋_GB2312" w:cs="宋体"/>
          <w:b/>
          <w:kern w:val="0"/>
          <w:sz w:val="32"/>
          <w:szCs w:val="32"/>
        </w:rPr>
        <w:t>打造自贸区高端商务集聚带（中粮大道-涂山路-东海大道）</w:t>
      </w:r>
      <w:r>
        <w:rPr>
          <w:rFonts w:hint="eastAsia" w:ascii="仿宋_GB2312" w:hAnsi="仿宋" w:eastAsia="仿宋_GB2312" w:cs="宋体"/>
          <w:kern w:val="0"/>
          <w:sz w:val="32"/>
          <w:szCs w:val="32"/>
        </w:rPr>
        <w:t>，沿自贸区范围重点发展总部经济、星级酒店、科技研发、商务办公、高端医疗、优质教育、金融保险、检验检疫等产业，提升自贸区建设质量，形成引领皖北的产业集聚带。</w:t>
      </w:r>
    </w:p>
    <w:p w14:paraId="611C7F4B">
      <w:pPr>
        <w:autoSpaceDE w:val="0"/>
        <w:autoSpaceDN w:val="0"/>
        <w:adjustRightInd w:val="0"/>
        <w:snapToGrid w:val="0"/>
        <w:spacing w:line="560" w:lineRule="exact"/>
        <w:ind w:firstLine="643" w:firstLineChars="200"/>
        <w:rPr>
          <w:rFonts w:ascii="仿宋_GB2312" w:hAnsi="仿宋" w:eastAsia="仿宋_GB2312" w:cs="仿宋_GB2312"/>
          <w:sz w:val="32"/>
          <w:szCs w:val="32"/>
        </w:rPr>
      </w:pPr>
      <w:r>
        <w:rPr>
          <w:rFonts w:hint="eastAsia" w:ascii="仿宋_GB2312" w:hAnsi="仿宋" w:eastAsia="仿宋_GB2312" w:cs="仿宋_GB2312"/>
          <w:b/>
          <w:sz w:val="32"/>
          <w:szCs w:val="32"/>
        </w:rPr>
        <w:t>强化“三核”支撑：1.</w:t>
      </w:r>
      <w:r>
        <w:rPr>
          <w:rFonts w:hint="eastAsia" w:ascii="仿宋_GB2312" w:hAnsi="仿宋" w:eastAsia="仿宋_GB2312" w:cs="仿宋_GB2312"/>
          <w:sz w:val="32"/>
          <w:szCs w:val="32"/>
        </w:rPr>
        <w:t>以国家新型工业化产业示范基地为主阵地的</w:t>
      </w:r>
      <w:r>
        <w:rPr>
          <w:rFonts w:hint="eastAsia" w:ascii="仿宋_GB2312" w:hAnsi="仿宋" w:eastAsia="仿宋_GB2312" w:cs="仿宋_GB2312"/>
          <w:b/>
          <w:sz w:val="32"/>
          <w:szCs w:val="32"/>
        </w:rPr>
        <w:t>轻型智造产业核；</w:t>
      </w:r>
      <w:r>
        <w:rPr>
          <w:rFonts w:hint="eastAsia" w:ascii="仿宋_GB2312" w:hAnsi="仿宋" w:eastAsia="仿宋_GB2312" w:cs="仿宋_GB2312"/>
          <w:sz w:val="32"/>
          <w:szCs w:val="32"/>
        </w:rPr>
        <w:t>2.以蚌埠港国际集装箱码头为依托的自贸区</w:t>
      </w:r>
      <w:r>
        <w:rPr>
          <w:rFonts w:hint="eastAsia" w:ascii="仿宋_GB2312" w:hAnsi="仿宋" w:eastAsia="仿宋_GB2312" w:cs="仿宋_GB2312"/>
          <w:b/>
          <w:sz w:val="32"/>
          <w:szCs w:val="32"/>
        </w:rPr>
        <w:t>临港国际贸易核</w:t>
      </w:r>
      <w:r>
        <w:rPr>
          <w:rFonts w:hint="eastAsia" w:ascii="仿宋_GB2312" w:hAnsi="仿宋" w:eastAsia="仿宋_GB2312" w:cs="仿宋_GB2312"/>
          <w:sz w:val="32"/>
          <w:szCs w:val="32"/>
        </w:rPr>
        <w:t>；3.以马城绿色建材产业园为支撑的</w:t>
      </w:r>
      <w:r>
        <w:rPr>
          <w:rFonts w:hint="eastAsia" w:ascii="仿宋_GB2312" w:hAnsi="仿宋" w:eastAsia="仿宋_GB2312"/>
          <w:b/>
          <w:sz w:val="32"/>
          <w:szCs w:val="32"/>
        </w:rPr>
        <w:t>新型建材生产交易</w:t>
      </w:r>
      <w:r>
        <w:rPr>
          <w:rFonts w:hint="eastAsia" w:ascii="仿宋_GB2312" w:hAnsi="仿宋" w:eastAsia="仿宋_GB2312" w:cs="仿宋_GB2312"/>
          <w:b/>
          <w:sz w:val="32"/>
          <w:szCs w:val="32"/>
        </w:rPr>
        <w:t>核</w:t>
      </w:r>
      <w:r>
        <w:rPr>
          <w:rFonts w:hint="eastAsia" w:ascii="仿宋_GB2312" w:hAnsi="仿宋" w:eastAsia="仿宋_GB2312" w:cs="仿宋_GB2312"/>
          <w:sz w:val="32"/>
          <w:szCs w:val="32"/>
        </w:rPr>
        <w:t>。</w:t>
      </w:r>
      <w:bookmarkStart w:id="43" w:name="_Toc364"/>
      <w:bookmarkStart w:id="44" w:name="_Toc31274"/>
    </w:p>
    <w:p w14:paraId="651BF5AA">
      <w:pPr>
        <w:autoSpaceDE w:val="0"/>
        <w:autoSpaceDN w:val="0"/>
        <w:adjustRightInd w:val="0"/>
        <w:snapToGrid w:val="0"/>
        <w:spacing w:line="560" w:lineRule="exact"/>
        <w:ind w:firstLine="643" w:firstLineChars="200"/>
        <w:rPr>
          <w:rFonts w:ascii="仿宋_GB2312" w:hAnsi="仿宋" w:eastAsia="仿宋_GB2312" w:cs="仿宋_GB2312"/>
          <w:sz w:val="32"/>
          <w:szCs w:val="32"/>
        </w:rPr>
      </w:pPr>
      <w:r>
        <w:rPr>
          <w:rFonts w:hint="eastAsia" w:ascii="仿宋_GB2312" w:hAnsi="仿宋" w:eastAsia="仿宋_GB2312" w:cs="仿宋_GB2312"/>
          <w:b/>
          <w:sz w:val="32"/>
          <w:szCs w:val="32"/>
        </w:rPr>
        <w:t>建设“四个功能片区”：</w:t>
      </w:r>
      <w:r>
        <w:rPr>
          <w:rFonts w:hint="eastAsia" w:ascii="仿宋_GB2312" w:hAnsi="仿宋" w:eastAsia="仿宋_GB2312" w:cs="仿宋_GB2312"/>
          <w:sz w:val="32"/>
          <w:szCs w:val="32"/>
        </w:rPr>
        <w:t>着力</w:t>
      </w:r>
      <w:r>
        <w:rPr>
          <w:rFonts w:hint="eastAsia" w:ascii="仿宋_GB2312" w:hAnsi="仿宋" w:eastAsia="仿宋_GB2312"/>
          <w:sz w:val="32"/>
          <w:szCs w:val="32"/>
        </w:rPr>
        <w:t>将国家级新型工业化产业示范基地200万平方米标准化产业园区建设成</w:t>
      </w:r>
      <w:r>
        <w:rPr>
          <w:rFonts w:hint="eastAsia" w:ascii="仿宋_GB2312" w:hAnsi="仿宋" w:eastAsia="仿宋_GB2312"/>
          <w:b/>
          <w:sz w:val="32"/>
          <w:szCs w:val="32"/>
        </w:rPr>
        <w:t>产业转移承载区</w:t>
      </w:r>
      <w:r>
        <w:rPr>
          <w:rFonts w:hint="eastAsia" w:ascii="仿宋_GB2312" w:hAnsi="仿宋" w:eastAsia="仿宋_GB2312"/>
          <w:sz w:val="32"/>
          <w:szCs w:val="32"/>
        </w:rPr>
        <w:t>；把退市进园10平方公里区域和自贸区港口建设成</w:t>
      </w:r>
      <w:r>
        <w:rPr>
          <w:rFonts w:hint="eastAsia" w:ascii="仿宋_GB2312" w:hAnsi="仿宋" w:eastAsia="仿宋_GB2312"/>
          <w:b/>
          <w:sz w:val="32"/>
          <w:szCs w:val="32"/>
        </w:rPr>
        <w:t>老工业区更新改造示范区</w:t>
      </w:r>
      <w:r>
        <w:rPr>
          <w:rFonts w:hint="eastAsia" w:ascii="仿宋_GB2312" w:hAnsi="仿宋" w:eastAsia="仿宋_GB2312"/>
          <w:sz w:val="32"/>
          <w:szCs w:val="32"/>
        </w:rPr>
        <w:t>；推动涂山、黑虎山等自然景观与禹会村遗址、老工业遗存、花鼓灯非物质文化遗产的融合发展，打造成</w:t>
      </w:r>
      <w:r>
        <w:rPr>
          <w:rFonts w:hint="eastAsia" w:ascii="仿宋_GB2312" w:hAnsi="仿宋" w:eastAsia="仿宋_GB2312"/>
          <w:b/>
          <w:sz w:val="32"/>
          <w:szCs w:val="32"/>
        </w:rPr>
        <w:t>文旅融合试验区</w:t>
      </w:r>
      <w:r>
        <w:rPr>
          <w:rFonts w:hint="eastAsia" w:ascii="仿宋_GB2312" w:hAnsi="仿宋" w:eastAsia="仿宋_GB2312"/>
          <w:sz w:val="32"/>
          <w:szCs w:val="32"/>
        </w:rPr>
        <w:t>；按“前港后场（厂）”将马城</w:t>
      </w:r>
      <w:r>
        <w:rPr>
          <w:rFonts w:hint="eastAsia" w:ascii="仿宋_GB2312" w:hAnsi="仿宋" w:eastAsia="仿宋_GB2312" w:cs="仿宋_GB2312"/>
          <w:sz w:val="32"/>
          <w:szCs w:val="32"/>
        </w:rPr>
        <w:t>绿色建材产业园</w:t>
      </w:r>
      <w:r>
        <w:rPr>
          <w:rFonts w:hint="eastAsia" w:ascii="仿宋_GB2312" w:hAnsi="仿宋" w:eastAsia="仿宋_GB2312"/>
          <w:sz w:val="32"/>
          <w:szCs w:val="32"/>
        </w:rPr>
        <w:t>打造成</w:t>
      </w:r>
      <w:r>
        <w:rPr>
          <w:rFonts w:hint="eastAsia" w:ascii="仿宋_GB2312" w:hAnsi="仿宋" w:eastAsia="仿宋_GB2312" w:cs="仿宋_GB2312"/>
          <w:b/>
          <w:sz w:val="32"/>
          <w:szCs w:val="32"/>
        </w:rPr>
        <w:t>蚌淮一体化枢纽</w:t>
      </w:r>
      <w:r>
        <w:rPr>
          <w:rFonts w:hint="eastAsia" w:ascii="仿宋_GB2312" w:hAnsi="仿宋" w:eastAsia="仿宋_GB2312"/>
          <w:b/>
          <w:sz w:val="32"/>
          <w:szCs w:val="32"/>
        </w:rPr>
        <w:t>区</w:t>
      </w:r>
      <w:bookmarkEnd w:id="43"/>
      <w:bookmarkEnd w:id="44"/>
      <w:r>
        <w:rPr>
          <w:rFonts w:hint="eastAsia" w:ascii="仿宋_GB2312" w:hAnsi="仿宋" w:eastAsia="仿宋_GB2312"/>
          <w:sz w:val="32"/>
          <w:szCs w:val="32"/>
        </w:rPr>
        <w:t xml:space="preserve">，形成承载产业、活跃商业、连接蚌淮、辐射皖北，分工明确的蚌埠未来城市新中心，成为蚌埠“两个中心”建设的有力支撑。 </w:t>
      </w:r>
    </w:p>
    <w:p w14:paraId="24D6D863">
      <w:pPr>
        <w:adjustRightInd w:val="0"/>
        <w:snapToGrid w:val="0"/>
        <w:spacing w:line="560" w:lineRule="exact"/>
        <w:ind w:firstLine="643" w:firstLineChars="200"/>
        <w:jc w:val="center"/>
        <w:outlineLvl w:val="1"/>
        <w:rPr>
          <w:rFonts w:ascii="楷体" w:hAnsi="楷体" w:eastAsia="楷体" w:cs="楷体"/>
          <w:b/>
          <w:sz w:val="32"/>
          <w:szCs w:val="32"/>
        </w:rPr>
      </w:pPr>
      <w:bookmarkStart w:id="45" w:name="_Toc58081140"/>
      <w:bookmarkStart w:id="46" w:name="_Toc16623"/>
    </w:p>
    <w:p w14:paraId="2A63DF65">
      <w:pPr>
        <w:adjustRightInd w:val="0"/>
        <w:snapToGrid w:val="0"/>
        <w:spacing w:line="560" w:lineRule="exact"/>
        <w:ind w:firstLine="643" w:firstLineChars="200"/>
        <w:jc w:val="center"/>
        <w:outlineLvl w:val="1"/>
        <w:rPr>
          <w:rFonts w:ascii="楷体" w:hAnsi="楷体" w:eastAsia="楷体" w:cs="楷体"/>
          <w:b/>
          <w:sz w:val="32"/>
          <w:szCs w:val="32"/>
        </w:rPr>
      </w:pPr>
      <w:bookmarkStart w:id="47" w:name="_Toc60900785"/>
      <w:r>
        <w:rPr>
          <w:rFonts w:hint="eastAsia" w:ascii="楷体" w:hAnsi="楷体" w:eastAsia="楷体" w:cs="楷体"/>
          <w:b/>
          <w:sz w:val="32"/>
          <w:szCs w:val="32"/>
        </w:rPr>
        <w:t>第四节  发展目标</w:t>
      </w:r>
      <w:bookmarkEnd w:id="42"/>
      <w:bookmarkEnd w:id="45"/>
      <w:bookmarkEnd w:id="46"/>
      <w:bookmarkEnd w:id="47"/>
    </w:p>
    <w:p w14:paraId="1682CF5F">
      <w:pPr>
        <w:autoSpaceDE w:val="0"/>
        <w:autoSpaceDN w:val="0"/>
        <w:adjustRightInd w:val="0"/>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贯彻落实党的十九大及省委、市委、区委对实现第二个百年奋斗目标分阶段推进的战略安排，展望二〇三五年，全区经济实力、科技实力、综合实力迈上新台阶，经济总量和城乡居民人均收入大幅提高；基本实现新型工业化、信息化、城镇化、农业现代化“新四化”，建成现代化经济体系；治理体系和治理能力现代化实现新提升，人民平等参与、平等发展权利得到充分保障，基本建成法治禹会、法治政府、法治社会；国民素质和社会文明程度达到新高度，建成创新型文化强区、教育强区、人才强区、健康禹会，文化软实力显著增强；全面绿色转型树立新样板，广泛形成绿色生产生活方式，生态环境根本好转，绿色禹会美好家园建设目标基本实现；对外开放形成新格局，与沪苏浙一体化发展机制高效运转，基础设施和公共服务互联互通全面实现，现代化综合交通体系和现代流通体系基本形成，参与国际经济合作和竞争新优势明显增强；协调发展实现新跨越，城市发展质量明显提高，城乡区域发展差距和居民生活水平差距显著缩小，人民基本生活保障水平与长三角平均水平大体相当，基本公共服务实现均等化，中等收入群体显著扩大；平安禹会建设达到新水平，建成人人有责、人人尽责、人人享有的社会治理共同体；人民美好生活谱写新篇章，人的全面发展、全区人民共同富裕取得更为明显的实质性进展。</w:t>
      </w:r>
    </w:p>
    <w:p w14:paraId="64CE6584">
      <w:pPr>
        <w:autoSpaceDE w:val="0"/>
        <w:autoSpaceDN w:val="0"/>
        <w:adjustRightInd w:val="0"/>
        <w:snapToGrid w:val="0"/>
        <w:spacing w:line="560" w:lineRule="exact"/>
        <w:ind w:firstLine="640" w:firstLineChars="200"/>
        <w:jc w:val="left"/>
        <w:rPr>
          <w:rFonts w:ascii="仿宋_GB2312" w:hAnsi="宋体" w:eastAsia="仿宋_GB2312" w:cs="宋体"/>
          <w:kern w:val="0"/>
          <w:sz w:val="32"/>
          <w:szCs w:val="32"/>
        </w:rPr>
      </w:pPr>
      <w:r>
        <w:rPr>
          <w:rFonts w:hint="eastAsia" w:ascii="仿宋_GB2312" w:hAnsi="仿宋" w:eastAsia="仿宋_GB2312" w:cs="仿宋_GB2312"/>
          <w:sz w:val="32"/>
          <w:szCs w:val="32"/>
        </w:rPr>
        <w:t>锚定二O三五年远景目标，坚持以习近平新时代中国特色社会主义思想为指导，贯彻习近平总书记考察安徽提出的强化“两个坚持”、实现“两个更大”的目标要求，按照全市“三地一区”两中心、“四区”两基两枢纽的目标定位，依托大院大所大港口等平台资源，抢抓长三角一体化、</w:t>
      </w:r>
      <w:r>
        <w:rPr>
          <w:rFonts w:hint="eastAsia" w:ascii="仿宋_GB2312" w:hAnsi="宋体" w:eastAsia="仿宋_GB2312" w:cs="宋体"/>
          <w:kern w:val="0"/>
          <w:sz w:val="32"/>
          <w:szCs w:val="32"/>
        </w:rPr>
        <w:t>自贸区建设机遇，汇聚创新优势，全力打造区域协调发展新样板，谱写全面绿色转型新篇章，构筑高水平改革开放新高地，绘就山水人城和谐相融新画卷，坚定朝着经济强、百姓富、生态美的新时代现代化美好禹会进军，为蚌埠高质量发展贡献力量。“十四五”时期我区经济社会发展主要目标：</w:t>
      </w:r>
    </w:p>
    <w:p w14:paraId="4B6E0917">
      <w:pPr>
        <w:autoSpaceDE w:val="0"/>
        <w:autoSpaceDN w:val="0"/>
        <w:adjustRightInd w:val="0"/>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——地区生产总值年均增长8%；</w:t>
      </w:r>
    </w:p>
    <w:p w14:paraId="40085ED6">
      <w:pPr>
        <w:autoSpaceDE w:val="0"/>
        <w:autoSpaceDN w:val="0"/>
        <w:adjustRightInd w:val="0"/>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——社会消费品零售总额年均增长9%；</w:t>
      </w:r>
    </w:p>
    <w:p w14:paraId="71186060">
      <w:pPr>
        <w:autoSpaceDE w:val="0"/>
        <w:autoSpaceDN w:val="0"/>
        <w:adjustRightInd w:val="0"/>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——全社会固定资产投资年均增长10%；</w:t>
      </w:r>
    </w:p>
    <w:p w14:paraId="10813854">
      <w:pPr>
        <w:autoSpaceDE w:val="0"/>
        <w:autoSpaceDN w:val="0"/>
        <w:adjustRightInd w:val="0"/>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——高新技术产业产值占规模以上工业产值的比重超过60%;</w:t>
      </w:r>
    </w:p>
    <w:p w14:paraId="4C48DE1B">
      <w:pPr>
        <w:autoSpaceDE w:val="0"/>
        <w:autoSpaceDN w:val="0"/>
        <w:adjustRightInd w:val="0"/>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——战略性新兴产业产值占规模以上工业产值的比重超过60%；</w:t>
      </w:r>
    </w:p>
    <w:p w14:paraId="6F37A2AF">
      <w:pPr>
        <w:autoSpaceDE w:val="0"/>
        <w:autoSpaceDN w:val="0"/>
        <w:adjustRightInd w:val="0"/>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——2025年城镇居民和农村居民人均可支配收入分别达到56000元、28500元;</w:t>
      </w:r>
    </w:p>
    <w:p w14:paraId="247CF5D2">
      <w:pPr>
        <w:autoSpaceDE w:val="0"/>
        <w:autoSpaceDN w:val="0"/>
        <w:adjustRightInd w:val="0"/>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——城镇登记失业率控制在3.8%以内，城乡基本社会保险覆盖率100%;</w:t>
      </w:r>
    </w:p>
    <w:p w14:paraId="05054837">
      <w:pPr>
        <w:autoSpaceDE w:val="0"/>
        <w:autoSpaceDN w:val="0"/>
        <w:adjustRightInd w:val="0"/>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——万人发明专利拥有量、建成区绿化覆盖率、人均绿地占有面积等指标均高于全市平均水平。</w:t>
      </w:r>
    </w:p>
    <w:p w14:paraId="28C7A2B1">
      <w:pPr>
        <w:widowControl/>
        <w:jc w:val="left"/>
        <w:rPr>
          <w:rFonts w:ascii="黑体" w:hAnsi="黑体" w:eastAsia="黑体" w:cs="黑体"/>
          <w:b/>
          <w:kern w:val="0"/>
          <w:sz w:val="32"/>
          <w:szCs w:val="32"/>
        </w:rPr>
      </w:pPr>
      <w:bookmarkStart w:id="48" w:name="_Toc58081143"/>
      <w:bookmarkStart w:id="49" w:name="_Toc5385"/>
      <w:bookmarkStart w:id="50" w:name="_Toc24718"/>
      <w:bookmarkStart w:id="51" w:name="_Toc48588560"/>
      <w:bookmarkStart w:id="52" w:name="_Toc50278165"/>
      <w:bookmarkStart w:id="53" w:name="_Toc47172197"/>
      <w:r>
        <w:rPr>
          <w:rFonts w:ascii="黑体" w:hAnsi="黑体" w:eastAsia="黑体" w:cs="黑体"/>
          <w:b/>
          <w:kern w:val="0"/>
          <w:sz w:val="32"/>
          <w:szCs w:val="32"/>
        </w:rPr>
        <w:br w:type="page"/>
      </w:r>
    </w:p>
    <w:p w14:paraId="6648950E">
      <w:pPr>
        <w:autoSpaceDE w:val="0"/>
        <w:autoSpaceDN w:val="0"/>
        <w:adjustRightInd w:val="0"/>
        <w:snapToGrid w:val="0"/>
        <w:spacing w:line="560" w:lineRule="exact"/>
        <w:jc w:val="center"/>
        <w:outlineLvl w:val="0"/>
        <w:rPr>
          <w:rFonts w:ascii="黑体" w:hAnsi="黑体" w:eastAsia="黑体" w:cs="黑体"/>
          <w:bCs/>
          <w:kern w:val="0"/>
          <w:sz w:val="32"/>
          <w:szCs w:val="32"/>
        </w:rPr>
      </w:pPr>
      <w:bookmarkStart w:id="54" w:name="_Toc60900786"/>
      <w:r>
        <w:rPr>
          <w:rFonts w:hint="eastAsia" w:ascii="黑体" w:hAnsi="黑体" w:eastAsia="黑体" w:cs="黑体"/>
          <w:kern w:val="0"/>
          <w:sz w:val="32"/>
          <w:szCs w:val="32"/>
        </w:rPr>
        <w:t>第三章  优化配置，推动优质资源加速集聚</w:t>
      </w:r>
      <w:bookmarkEnd w:id="54"/>
    </w:p>
    <w:p w14:paraId="765C339D">
      <w:pPr>
        <w:adjustRightInd w:val="0"/>
        <w:snapToGrid w:val="0"/>
        <w:spacing w:line="560" w:lineRule="exact"/>
        <w:ind w:firstLine="640" w:firstLineChars="200"/>
        <w:outlineLvl w:val="1"/>
        <w:rPr>
          <w:rFonts w:ascii="仿宋_GB2312" w:hAnsi="楷体" w:eastAsia="仿宋_GB2312" w:cs="楷体"/>
          <w:bCs/>
          <w:kern w:val="0"/>
          <w:sz w:val="32"/>
          <w:szCs w:val="32"/>
        </w:rPr>
      </w:pPr>
      <w:bookmarkStart w:id="55" w:name="_Toc59301460"/>
      <w:bookmarkStart w:id="56" w:name="_Toc4441"/>
      <w:bookmarkStart w:id="57" w:name="_Toc59952101"/>
      <w:bookmarkStart w:id="58" w:name="_Toc58938513"/>
      <w:bookmarkStart w:id="59" w:name="_Toc16849"/>
      <w:bookmarkStart w:id="60" w:name="_Toc60900787"/>
      <w:bookmarkStart w:id="61" w:name="_Toc12119"/>
      <w:bookmarkStart w:id="62" w:name="_Toc4059"/>
      <w:r>
        <w:rPr>
          <w:rFonts w:eastAsia="仿宋_GB2312"/>
          <w:color w:val="000000"/>
          <w:sz w:val="32"/>
          <w:szCs w:val="32"/>
        </w:rPr>
        <w:t>全面落实长三角一体化发展规划纲要和省、市实施方案，</w:t>
      </w:r>
      <w:r>
        <w:rPr>
          <w:rFonts w:hint="eastAsia" w:ascii="仿宋_GB2312" w:hAnsi="楷体" w:eastAsia="仿宋_GB2312" w:cs="楷体"/>
          <w:bCs/>
          <w:kern w:val="0"/>
          <w:sz w:val="32"/>
          <w:szCs w:val="32"/>
        </w:rPr>
        <w:t>充分学习长三角、粤港澳等先进地区的做法，主动加强对接，主动合作共建，开拓思路，提升效率，利用政策叠加优势，创新服务机制，强化资源保障，服务产业发展。</w:t>
      </w:r>
      <w:bookmarkEnd w:id="55"/>
      <w:bookmarkEnd w:id="56"/>
      <w:bookmarkEnd w:id="57"/>
      <w:bookmarkEnd w:id="58"/>
      <w:bookmarkEnd w:id="59"/>
      <w:bookmarkEnd w:id="60"/>
      <w:bookmarkEnd w:id="61"/>
    </w:p>
    <w:p w14:paraId="2CE0E56B">
      <w:pPr>
        <w:adjustRightInd w:val="0"/>
        <w:snapToGrid w:val="0"/>
        <w:spacing w:line="560" w:lineRule="exact"/>
        <w:ind w:firstLine="643" w:firstLineChars="200"/>
        <w:jc w:val="center"/>
        <w:outlineLvl w:val="1"/>
        <w:rPr>
          <w:rFonts w:ascii="楷体" w:hAnsi="楷体" w:eastAsia="楷体" w:cs="楷体"/>
          <w:b/>
          <w:bCs/>
          <w:kern w:val="0"/>
          <w:sz w:val="32"/>
          <w:szCs w:val="32"/>
        </w:rPr>
      </w:pPr>
    </w:p>
    <w:p w14:paraId="5BAA2FE1">
      <w:pPr>
        <w:adjustRightInd w:val="0"/>
        <w:snapToGrid w:val="0"/>
        <w:spacing w:line="560" w:lineRule="exact"/>
        <w:ind w:firstLine="643" w:firstLineChars="200"/>
        <w:jc w:val="center"/>
        <w:outlineLvl w:val="1"/>
        <w:rPr>
          <w:rFonts w:ascii="楷体" w:hAnsi="楷体" w:eastAsia="楷体" w:cs="楷体"/>
          <w:b/>
          <w:bCs/>
          <w:kern w:val="0"/>
          <w:sz w:val="32"/>
          <w:szCs w:val="32"/>
        </w:rPr>
      </w:pPr>
      <w:bookmarkStart w:id="63" w:name="_Toc60900788"/>
      <w:r>
        <w:rPr>
          <w:rFonts w:hint="eastAsia" w:ascii="楷体" w:hAnsi="楷体" w:eastAsia="楷体" w:cs="楷体"/>
          <w:b/>
          <w:bCs/>
          <w:kern w:val="0"/>
          <w:sz w:val="32"/>
          <w:szCs w:val="32"/>
        </w:rPr>
        <w:t>第一节  持续挖掘前沿招商功能</w:t>
      </w:r>
      <w:bookmarkEnd w:id="63"/>
    </w:p>
    <w:p w14:paraId="6C651D4E">
      <w:pPr>
        <w:spacing w:line="56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以上海和深圳孵化创业基地为依托,持续推行“创业研发在外地,生产制造在禹会”的模式,充分发挥“长三角”（上海虹桥）、粤港澳大湾区（深圳前海）招商基地作用，实现年孵化转移亿元以上企业不少于10个。建成京津冀（北京）孵化创业基地。推进外地优势资源与禹会在人才、资本、市场等方面多向流通，促进区域经济发展。同时，发挥禹投参股基金主体的信息资源优势和基金的撬动作用，加强与国企、央企、世界500强等知名企业合作,在“基地+基金”模式助推下，承接“长三角”“珠三角”“京津冀”地区更多优质企业落户禹会,推动禹会产业转型升级。 </w:t>
      </w:r>
    </w:p>
    <w:tbl>
      <w:tblPr>
        <w:tblStyle w:val="15"/>
        <w:tblpPr w:leftFromText="180" w:rightFromText="180" w:vertAnchor="text" w:horzAnchor="page" w:tblpX="2033" w:tblpY="5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5"/>
      </w:tblGrid>
      <w:tr w14:paraId="136B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5" w:type="dxa"/>
          </w:tcPr>
          <w:p w14:paraId="443C85DB">
            <w:pPr>
              <w:adjustRightInd w:val="0"/>
              <w:snapToGrid w:val="0"/>
              <w:spacing w:line="480" w:lineRule="exact"/>
              <w:ind w:firstLine="560" w:firstLineChars="200"/>
              <w:jc w:val="center"/>
              <w:rPr>
                <w:rFonts w:ascii="黑体" w:hAnsi="黑体" w:eastAsia="黑体" w:cs="黑体"/>
                <w:sz w:val="28"/>
                <w:szCs w:val="28"/>
              </w:rPr>
            </w:pPr>
            <w:r>
              <w:rPr>
                <w:rFonts w:hint="eastAsia" w:ascii="黑体" w:hAnsi="黑体" w:eastAsia="黑体" w:cs="黑体"/>
                <w:sz w:val="28"/>
                <w:szCs w:val="28"/>
              </w:rPr>
              <w:t>专栏1：招商平台项目</w:t>
            </w:r>
          </w:p>
          <w:p w14:paraId="4E370659">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长三角双创产业孵化基地（上海虹桥）。</w:t>
            </w:r>
            <w:r>
              <w:rPr>
                <w:rFonts w:hint="eastAsia" w:ascii="仿宋_GB2312" w:hAnsi="仿宋" w:eastAsia="仿宋_GB2312" w:cs="Times New Roman"/>
                <w:sz w:val="28"/>
                <w:szCs w:val="28"/>
              </w:rPr>
              <w:t>在长三角一体化进程中，禹会区和上海新微科技集团共同打造，推行“创业研发在上海，生产制造在禹会”的全新项目合作模式，把上海的科创资源优势和蚌埠的产业基地优势结合起来，共同孵化具有科技创新力的科技企业，既能为高层次人才提供一线城市创业平台，又能快速吸引产业项目投资禹会，推动禹会区的产业转型和升级，促进经济更好更快的发展。</w:t>
            </w:r>
          </w:p>
          <w:p w14:paraId="7FBA8102">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粤港澳大湾区基地（深圳前海）。</w:t>
            </w:r>
            <w:r>
              <w:rPr>
                <w:rFonts w:hint="eastAsia" w:ascii="仿宋_GB2312" w:hAnsi="仿宋" w:eastAsia="仿宋_GB2312" w:cs="Times New Roman"/>
                <w:sz w:val="28"/>
                <w:szCs w:val="28"/>
              </w:rPr>
              <w:t>基地作为禹会区企业走出去和大湾区企业请进来的前沿窗口，重点培育智能终端、传感器、5G核心器件、工业机器人、无人机等高新产业，服务禹会区产业建链、补链、强链，助力禹会区筑牢现代工业体系，打造工业强区。</w:t>
            </w:r>
          </w:p>
          <w:p w14:paraId="3E16188F">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京津冀双创产业孵化基地（北京中关村）。</w:t>
            </w:r>
            <w:r>
              <w:rPr>
                <w:rFonts w:hint="eastAsia" w:ascii="仿宋_GB2312" w:hAnsi="仿宋" w:eastAsia="仿宋_GB2312" w:cs="Times New Roman"/>
                <w:sz w:val="28"/>
                <w:szCs w:val="28"/>
              </w:rPr>
              <w:t>结合中国（安徽）自由贸易试验区蚌埠片区，谋划在京津冀地区设立孵化基地，有助于禹会区进一步融入一线城市的发展脉络，整合资源，形成辐射全国的产业集群，促进老工业区经济转型升级，实现更高质量发展。</w:t>
            </w:r>
          </w:p>
        </w:tc>
      </w:tr>
    </w:tbl>
    <w:p w14:paraId="320AA704">
      <w:pPr>
        <w:spacing w:line="560" w:lineRule="exact"/>
        <w:ind w:firstLine="643" w:firstLineChars="200"/>
        <w:jc w:val="left"/>
        <w:rPr>
          <w:rFonts w:ascii="仿宋_GB2312" w:hAnsi="仿宋" w:eastAsia="仿宋_GB2312" w:cs="Times New Roman"/>
          <w:b/>
          <w:sz w:val="32"/>
          <w:szCs w:val="32"/>
        </w:rPr>
      </w:pPr>
    </w:p>
    <w:p w14:paraId="0191EF29">
      <w:pPr>
        <w:adjustRightInd w:val="0"/>
        <w:snapToGrid w:val="0"/>
        <w:spacing w:line="560" w:lineRule="exact"/>
        <w:ind w:firstLine="643" w:firstLineChars="200"/>
        <w:jc w:val="center"/>
        <w:outlineLvl w:val="1"/>
        <w:rPr>
          <w:rFonts w:ascii="楷体" w:hAnsi="楷体" w:eastAsia="楷体" w:cs="楷体"/>
          <w:b/>
          <w:bCs/>
          <w:kern w:val="0"/>
          <w:sz w:val="32"/>
          <w:szCs w:val="32"/>
        </w:rPr>
      </w:pPr>
      <w:bookmarkStart w:id="64" w:name="_Toc60900789"/>
      <w:r>
        <w:rPr>
          <w:rFonts w:hint="eastAsia" w:ascii="楷体" w:hAnsi="楷体" w:eastAsia="楷体" w:cs="楷体"/>
          <w:b/>
          <w:bCs/>
          <w:kern w:val="0"/>
          <w:sz w:val="32"/>
          <w:szCs w:val="32"/>
        </w:rPr>
        <w:t>第二节  持续优化服务保障机制</w:t>
      </w:r>
      <w:bookmarkEnd w:id="64"/>
    </w:p>
    <w:p w14:paraId="2753CD03">
      <w:pPr>
        <w:spacing w:line="56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利用自贸区的政策优势，用好用活“合芜蚌”国家自主创新示范区和系统推进全面创新改革试验两个国家级创新平台,吸引和聚集国内外资金、技术、人才、信息等要素，推动硅基、生物基、新能源、电子信息、高端装备等产业高质量发展。扎实做好“四送一服”，强化“三个一切”服务理念,落实“首席服务官”制度，创新税收征管服务举措，全面优化营商环境。同时,积极推动优质资源要素配置，把城市建设、高端医疗、优质教育、文化事业发展等融入营商环境,一体化推进，全方位建设，夯实配套基础，形成“创新创业环境优，才商云集竞自由”的良好局面。</w:t>
      </w:r>
    </w:p>
    <w:p w14:paraId="5076B881">
      <w:pPr>
        <w:adjustRightInd w:val="0"/>
        <w:snapToGrid w:val="0"/>
        <w:spacing w:line="560" w:lineRule="exact"/>
        <w:ind w:firstLine="643" w:firstLineChars="200"/>
        <w:jc w:val="center"/>
        <w:outlineLvl w:val="1"/>
        <w:rPr>
          <w:rFonts w:ascii="楷体" w:hAnsi="楷体" w:eastAsia="楷体" w:cs="楷体"/>
          <w:b/>
          <w:bCs/>
          <w:kern w:val="0"/>
          <w:sz w:val="32"/>
          <w:szCs w:val="32"/>
        </w:rPr>
      </w:pPr>
    </w:p>
    <w:p w14:paraId="3D4BA303">
      <w:pPr>
        <w:adjustRightInd w:val="0"/>
        <w:snapToGrid w:val="0"/>
        <w:spacing w:line="560" w:lineRule="exact"/>
        <w:ind w:firstLine="643" w:firstLineChars="200"/>
        <w:jc w:val="center"/>
        <w:outlineLvl w:val="1"/>
        <w:rPr>
          <w:rFonts w:ascii="楷体" w:hAnsi="楷体" w:eastAsia="楷体" w:cs="楷体"/>
          <w:b/>
          <w:bCs/>
          <w:kern w:val="0"/>
          <w:sz w:val="32"/>
          <w:szCs w:val="32"/>
        </w:rPr>
      </w:pPr>
      <w:bookmarkStart w:id="65" w:name="_Toc60900790"/>
      <w:r>
        <w:rPr>
          <w:rFonts w:hint="eastAsia" w:ascii="楷体" w:hAnsi="楷体" w:eastAsia="楷体" w:cs="楷体"/>
          <w:b/>
          <w:bCs/>
          <w:kern w:val="0"/>
          <w:sz w:val="32"/>
          <w:szCs w:val="32"/>
        </w:rPr>
        <w:t>第三节  坚持发挥资本撬动作用</w:t>
      </w:r>
      <w:bookmarkEnd w:id="65"/>
    </w:p>
    <w:p w14:paraId="5849860B">
      <w:pPr>
        <w:adjustRightInd w:val="0"/>
        <w:snapToGrid w:val="0"/>
        <w:spacing w:line="560" w:lineRule="exact"/>
        <w:ind w:firstLine="640" w:firstLineChars="200"/>
        <w:rPr>
          <w:rFonts w:ascii="仿宋_GB2312" w:hAnsi="仿宋" w:eastAsia="仿宋_GB2312" w:cs="仿宋_GB2312"/>
          <w:bCs/>
          <w:sz w:val="32"/>
          <w:szCs w:val="32"/>
        </w:rPr>
      </w:pPr>
      <w:r>
        <w:rPr>
          <w:rFonts w:hint="eastAsia" w:ascii="仿宋_GB2312" w:hAnsi="仿宋" w:eastAsia="仿宋_GB2312" w:cs="仿宋_GB2312"/>
          <w:bCs/>
          <w:sz w:val="32"/>
          <w:szCs w:val="32"/>
        </w:rPr>
        <w:t>发挥财政资金引导作用，深度融合资本市场优势，完成禹投AA+信用评级，做大禹投集团投融资体量，壮大禹投整体实力，撬动更多社会资本服务实体经济发展。持续推进科技金融、供应链金融等金融服务业态发展，支持民营经济、小微企业发展壮大，积极培育新的增长极。加大对外投资和参股合作，“十四五”期间禹投集团控股或参股1-3家上市公司，培育一批后备上市公司；加强与建筑行业国企、央企的深度合作，实施“提质创优”工程，力争实现本区建筑业企业资质突破，力争牵头建设的项目创建优质工程。</w:t>
      </w:r>
    </w:p>
    <w:tbl>
      <w:tblPr>
        <w:tblStyle w:val="15"/>
        <w:tblpPr w:leftFromText="180" w:rightFromText="180" w:vertAnchor="text" w:horzAnchor="page" w:tblpX="2033" w:tblpY="5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5"/>
      </w:tblGrid>
      <w:tr w14:paraId="4AC1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5" w:type="dxa"/>
          </w:tcPr>
          <w:p w14:paraId="7F3F8A38">
            <w:pPr>
              <w:adjustRightInd w:val="0"/>
              <w:snapToGrid w:val="0"/>
              <w:spacing w:line="480" w:lineRule="exact"/>
              <w:ind w:firstLine="560" w:firstLineChars="200"/>
              <w:jc w:val="center"/>
              <w:rPr>
                <w:rFonts w:ascii="黑体" w:hAnsi="黑体" w:eastAsia="黑体" w:cs="黑体"/>
                <w:sz w:val="28"/>
                <w:szCs w:val="28"/>
              </w:rPr>
            </w:pPr>
            <w:r>
              <w:rPr>
                <w:rFonts w:hint="eastAsia" w:ascii="黑体" w:hAnsi="黑体" w:eastAsia="黑体" w:cs="黑体"/>
                <w:sz w:val="28"/>
                <w:szCs w:val="28"/>
              </w:rPr>
              <w:t>专栏2：基金项目</w:t>
            </w:r>
          </w:p>
          <w:p w14:paraId="768FEBDC">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禹投怡亚通供应链综合商业平台项目。</w:t>
            </w:r>
            <w:r>
              <w:rPr>
                <w:rFonts w:hint="eastAsia" w:ascii="仿宋_GB2312" w:hAnsi="仿宋" w:eastAsia="仿宋_GB2312" w:cs="Times New Roman"/>
                <w:sz w:val="28"/>
                <w:szCs w:val="28"/>
              </w:rPr>
              <w:t>搭建供应链综合商业服务平台，服务产业上下游企业，包括供应链服务（1+N）、采销及采销执行、物流服务、供应链金融服务、全球采销服务、政府采购等。</w:t>
            </w:r>
          </w:p>
          <w:p w14:paraId="36B9607E">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安徽和壮高新技术成果基金。</w:t>
            </w:r>
            <w:r>
              <w:rPr>
                <w:rFonts w:hint="eastAsia" w:ascii="仿宋_GB2312" w:hAnsi="仿宋" w:eastAsia="仿宋_GB2312" w:cs="Times New Roman"/>
                <w:sz w:val="28"/>
                <w:szCs w:val="28"/>
              </w:rPr>
              <w:t>支持禹会区内优势企业，兼顾其他地区优质新兴产业项目，并重点将其引导至禹会区。</w:t>
            </w:r>
          </w:p>
          <w:p w14:paraId="265C94EF">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蚌埠市禹会区和泰产业发展基金。</w:t>
            </w:r>
            <w:r>
              <w:rPr>
                <w:rFonts w:hint="eastAsia" w:ascii="仿宋_GB2312" w:hAnsi="仿宋" w:eastAsia="仿宋_GB2312" w:cs="Times New Roman"/>
                <w:sz w:val="28"/>
                <w:szCs w:val="28"/>
              </w:rPr>
              <w:t>聚焦战略性新兴领域和军民融合发展领域，重点支持航空航天装备、遥感卫星资源应用、新一代信息技术、生物医药及高性能医疗器械等军民技术兼容性强、与国家安全关联度高的项目。</w:t>
            </w:r>
          </w:p>
          <w:p w14:paraId="015CA05B">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嘉兴科微创业投资合伙企业</w:t>
            </w:r>
            <w:r>
              <w:rPr>
                <w:rFonts w:hint="eastAsia" w:ascii="仿宋_GB2312" w:hAnsi="仿宋" w:eastAsia="仿宋_GB2312" w:cs="Times New Roman"/>
                <w:sz w:val="28"/>
                <w:szCs w:val="28"/>
              </w:rPr>
              <w:t>。重点投资通讯电子及芯片、新材料、物联网、互联网、生物技术等领域重大科技创新和科技成果转化项目。</w:t>
            </w:r>
          </w:p>
          <w:p w14:paraId="060DA8F2">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嘉兴上创科微二期股权投资合伙企业。</w:t>
            </w:r>
            <w:r>
              <w:rPr>
                <w:rFonts w:hint="eastAsia" w:ascii="仿宋_GB2312" w:hAnsi="仿宋" w:eastAsia="仿宋_GB2312" w:cs="Times New Roman"/>
                <w:sz w:val="28"/>
                <w:szCs w:val="28"/>
              </w:rPr>
              <w:t>专项股权投资。</w:t>
            </w:r>
          </w:p>
          <w:p w14:paraId="5438BE57">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北京元培科技创新投资中心。</w:t>
            </w:r>
            <w:r>
              <w:rPr>
                <w:rFonts w:hint="eastAsia" w:ascii="仿宋_GB2312" w:hAnsi="仿宋" w:eastAsia="仿宋_GB2312" w:cs="Times New Roman"/>
                <w:sz w:val="28"/>
                <w:szCs w:val="28"/>
              </w:rPr>
              <w:t>投资原始创新阶段项目，主要投资信息技术行业高端“硬技术”创新项目。</w:t>
            </w:r>
          </w:p>
          <w:p w14:paraId="3D2D2F0E">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蚌埠安芙兰中小企业发展二期基金。</w:t>
            </w:r>
            <w:r>
              <w:rPr>
                <w:rFonts w:hint="eastAsia" w:ascii="仿宋_GB2312" w:hAnsi="仿宋" w:eastAsia="仿宋_GB2312" w:cs="Times New Roman"/>
                <w:sz w:val="28"/>
                <w:szCs w:val="28"/>
              </w:rPr>
              <w:t>基金主要投资包括但不限于电子信息、生物医药。</w:t>
            </w:r>
          </w:p>
        </w:tc>
      </w:tr>
      <w:bookmarkEnd w:id="62"/>
    </w:tbl>
    <w:p w14:paraId="072AA2A6">
      <w:pPr>
        <w:autoSpaceDE w:val="0"/>
        <w:autoSpaceDN w:val="0"/>
        <w:adjustRightInd w:val="0"/>
        <w:snapToGrid w:val="0"/>
        <w:spacing w:line="560" w:lineRule="exact"/>
        <w:jc w:val="center"/>
        <w:outlineLvl w:val="0"/>
        <w:rPr>
          <w:rFonts w:ascii="黑体" w:hAnsi="黑体" w:eastAsia="黑体" w:cs="黑体"/>
          <w:bCs/>
          <w:kern w:val="0"/>
          <w:sz w:val="32"/>
          <w:szCs w:val="32"/>
        </w:rPr>
      </w:pPr>
      <w:bookmarkStart w:id="66" w:name="_Toc60900791"/>
      <w:r>
        <w:rPr>
          <w:rFonts w:hint="eastAsia" w:ascii="黑体" w:hAnsi="黑体" w:eastAsia="黑体" w:cs="黑体"/>
          <w:b/>
          <w:kern w:val="0"/>
          <w:sz w:val="32"/>
          <w:szCs w:val="32"/>
        </w:rPr>
        <w:t>第四章</w:t>
      </w:r>
      <w:bookmarkEnd w:id="48"/>
      <w:bookmarkEnd w:id="49"/>
      <w:r>
        <w:rPr>
          <w:rFonts w:hint="eastAsia" w:ascii="黑体" w:hAnsi="黑体" w:eastAsia="黑体" w:cs="黑体"/>
          <w:b/>
          <w:kern w:val="0"/>
          <w:sz w:val="32"/>
          <w:szCs w:val="32"/>
        </w:rPr>
        <w:t xml:space="preserve">  创新驱动，建设产业转移承载区</w:t>
      </w:r>
      <w:bookmarkEnd w:id="66"/>
    </w:p>
    <w:bookmarkEnd w:id="50"/>
    <w:p w14:paraId="66B57F5A">
      <w:pPr>
        <w:autoSpaceDE w:val="0"/>
        <w:autoSpaceDN w:val="0"/>
        <w:adjustRightInd w:val="0"/>
        <w:snapToGrid w:val="0"/>
        <w:spacing w:line="560" w:lineRule="exact"/>
        <w:ind w:firstLine="640" w:firstLineChars="200"/>
        <w:rPr>
          <w:rFonts w:ascii="仿宋_GB2312" w:hAnsi="仿宋" w:eastAsia="仿宋_GB2312" w:cs="宋体"/>
          <w:color w:val="000000"/>
          <w:kern w:val="0"/>
          <w:sz w:val="32"/>
          <w:szCs w:val="32"/>
        </w:rPr>
      </w:pPr>
      <w:bookmarkStart w:id="67" w:name="_Toc58938518"/>
      <w:bookmarkStart w:id="68" w:name="_Toc17848"/>
      <w:bookmarkStart w:id="69" w:name="_Toc58081144"/>
      <w:r>
        <w:rPr>
          <w:rFonts w:hint="eastAsia" w:ascii="仿宋_GB2312" w:hAnsi="仿宋" w:eastAsia="仿宋_GB2312" w:cs="宋体"/>
          <w:color w:val="000000"/>
          <w:kern w:val="0"/>
          <w:sz w:val="32"/>
          <w:szCs w:val="32"/>
        </w:rPr>
        <w:t>坚持创新核心地位，借力辖区内众多的科研院所、院士工作站、创新中心等资源，提升科技创新能力，鼓励大众创业、万众创新，全面做强创新引擎，夯实承载基础，</w:t>
      </w:r>
      <w:bookmarkEnd w:id="67"/>
      <w:r>
        <w:rPr>
          <w:rFonts w:hint="eastAsia" w:ascii="仿宋_GB2312" w:hAnsi="仿宋" w:eastAsia="仿宋_GB2312" w:cs="宋体"/>
          <w:color w:val="000000"/>
          <w:kern w:val="0"/>
          <w:sz w:val="32"/>
          <w:szCs w:val="32"/>
        </w:rPr>
        <w:t>集聚“十四五”胜利开局起步的源头活水。</w:t>
      </w:r>
    </w:p>
    <w:p w14:paraId="7032D628">
      <w:pPr>
        <w:autoSpaceDE w:val="0"/>
        <w:autoSpaceDN w:val="0"/>
        <w:adjustRightInd w:val="0"/>
        <w:snapToGrid w:val="0"/>
        <w:spacing w:line="560" w:lineRule="exact"/>
        <w:ind w:firstLine="643" w:firstLineChars="200"/>
        <w:jc w:val="center"/>
        <w:outlineLvl w:val="1"/>
        <w:rPr>
          <w:rFonts w:ascii="楷体" w:hAnsi="楷体" w:eastAsia="楷体" w:cs="仿宋"/>
          <w:b/>
          <w:kern w:val="0"/>
          <w:sz w:val="32"/>
          <w:szCs w:val="32"/>
        </w:rPr>
      </w:pPr>
    </w:p>
    <w:p w14:paraId="71110681">
      <w:pPr>
        <w:autoSpaceDE w:val="0"/>
        <w:autoSpaceDN w:val="0"/>
        <w:adjustRightInd w:val="0"/>
        <w:snapToGrid w:val="0"/>
        <w:spacing w:line="560" w:lineRule="exact"/>
        <w:ind w:firstLine="643" w:firstLineChars="200"/>
        <w:jc w:val="center"/>
        <w:outlineLvl w:val="1"/>
        <w:rPr>
          <w:rFonts w:ascii="仿宋_GB2312" w:hAnsi="仿宋" w:eastAsia="仿宋_GB2312" w:cs="仿宋"/>
          <w:b/>
          <w:bCs/>
          <w:kern w:val="0"/>
          <w:sz w:val="32"/>
          <w:szCs w:val="32"/>
        </w:rPr>
      </w:pPr>
      <w:bookmarkStart w:id="70" w:name="_Toc60900792"/>
      <w:r>
        <w:rPr>
          <w:rFonts w:hint="eastAsia" w:ascii="楷体" w:hAnsi="楷体" w:eastAsia="楷体" w:cs="仿宋"/>
          <w:b/>
          <w:kern w:val="0"/>
          <w:sz w:val="32"/>
          <w:szCs w:val="32"/>
        </w:rPr>
        <w:t>第一节  加强科技创新支撑</w:t>
      </w:r>
      <w:bookmarkEnd w:id="70"/>
    </w:p>
    <w:p w14:paraId="201E80DF">
      <w:pPr>
        <w:autoSpaceDE w:val="0"/>
        <w:autoSpaceDN w:val="0"/>
        <w:adjustRightInd w:val="0"/>
        <w:snapToGrid w:val="0"/>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坚定不移实施创新驱动发展战略，在以国内大循环为主体、国内国际双循环相互促进的格局中占领先机，赢得优势。围绕“科创体系256”（全省2方案〈计划〉、5支柱、6平台科创体系），深入推进“三重一创”建设，依托玻璃设计院、丰原集团、中粮科技、中科大、华南理工等平台资源，重点推进国家硅基新材料制造业创新中心、安徽省生物基材料产业创新中心、中科大（先进研究院）等离子体应用技术联合实验室、海智计划安徽（蚌埠）国际人才中心、中科大丰原纳米纤维素研究院等创</w:t>
      </w:r>
      <w:r>
        <w:rPr>
          <w:rFonts w:hint="eastAsia" w:ascii="仿宋_GB2312" w:hAnsi="仿宋" w:eastAsia="仿宋_GB2312" w:cs="宋体"/>
          <w:kern w:val="0"/>
          <w:sz w:val="32"/>
          <w:szCs w:val="32"/>
        </w:rPr>
        <w:t>新平台建设，为产业升级提供智力支撑。通过政策支持、合作共建、资源对接等方式，引入科技创新类项目，力争建</w:t>
      </w:r>
      <w:r>
        <w:rPr>
          <w:rFonts w:hint="eastAsia" w:ascii="仿宋_GB2312" w:hAnsi="仿宋" w:eastAsia="仿宋_GB2312" w:cs="宋体"/>
          <w:color w:val="000000"/>
          <w:kern w:val="0"/>
          <w:sz w:val="32"/>
          <w:szCs w:val="32"/>
        </w:rPr>
        <w:t>成一批院士工作站、博士后工作站等科研站点，形成一批高水平的企业研发中心、工程技术中心等企业创新机构，促进更多科技成果转化，释放创新发展活力，打造具有重要影响力的科技创新策源地。</w:t>
      </w:r>
      <w:bookmarkEnd w:id="68"/>
      <w:bookmarkEnd w:id="69"/>
    </w:p>
    <w:tbl>
      <w:tblPr>
        <w:tblStyle w:val="15"/>
        <w:tblpPr w:leftFromText="180" w:rightFromText="180" w:vertAnchor="text" w:horzAnchor="page" w:tblpX="2033" w:tblpY="5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5"/>
      </w:tblGrid>
      <w:tr w14:paraId="4D8A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5" w:type="dxa"/>
          </w:tcPr>
          <w:p w14:paraId="0422B2E8">
            <w:pPr>
              <w:adjustRightInd w:val="0"/>
              <w:snapToGrid w:val="0"/>
              <w:spacing w:line="480" w:lineRule="exact"/>
              <w:ind w:firstLine="560" w:firstLineChars="200"/>
              <w:jc w:val="center"/>
              <w:rPr>
                <w:rFonts w:ascii="黑体" w:hAnsi="黑体" w:eastAsia="黑体" w:cs="黑体"/>
                <w:sz w:val="28"/>
                <w:szCs w:val="28"/>
              </w:rPr>
            </w:pPr>
            <w:r>
              <w:rPr>
                <w:rFonts w:hint="eastAsia" w:ascii="黑体" w:hAnsi="黑体" w:eastAsia="黑体" w:cs="黑体"/>
                <w:sz w:val="28"/>
                <w:szCs w:val="28"/>
              </w:rPr>
              <w:t>专栏3：创新平台项目</w:t>
            </w:r>
          </w:p>
          <w:p w14:paraId="353DA564">
            <w:pPr>
              <w:adjustRightInd w:val="0"/>
              <w:snapToGrid w:val="0"/>
              <w:spacing w:line="480" w:lineRule="exact"/>
              <w:ind w:firstLine="562" w:firstLineChars="200"/>
              <w:rPr>
                <w:rFonts w:ascii="仿宋_GB2312" w:hAnsi="仿宋" w:eastAsia="仿宋_GB2312" w:cs="仿宋"/>
                <w:sz w:val="28"/>
                <w:szCs w:val="28"/>
              </w:rPr>
            </w:pPr>
            <w:r>
              <w:rPr>
                <w:rFonts w:hint="eastAsia" w:ascii="仿宋_GB2312" w:hAnsi="仿宋" w:eastAsia="仿宋_GB2312" w:cs="仿宋"/>
                <w:b/>
                <w:bCs/>
                <w:sz w:val="28"/>
                <w:szCs w:val="28"/>
              </w:rPr>
              <w:t>国家硅基新材料制造业创新中心。</w:t>
            </w:r>
            <w:r>
              <w:rPr>
                <w:rFonts w:hint="eastAsia" w:ascii="仿宋_GB2312" w:hAnsi="仿宋" w:eastAsia="仿宋_GB2312" w:cs="仿宋"/>
                <w:sz w:val="28"/>
                <w:szCs w:val="28"/>
              </w:rPr>
              <w:t>在安徽省硅基新材料制造业创新中心的基础上，重点围绕战略性新兴产业所需的信息显示、新能源、交通运输、绿色建筑等领域开展研究攻关。打通从硅基原材料到高端产品应用的全产业链。</w:t>
            </w:r>
          </w:p>
          <w:p w14:paraId="49F36837">
            <w:pPr>
              <w:adjustRightInd w:val="0"/>
              <w:snapToGrid w:val="0"/>
              <w:spacing w:line="480" w:lineRule="exact"/>
              <w:ind w:firstLine="562" w:firstLineChars="200"/>
              <w:rPr>
                <w:rFonts w:ascii="仿宋_GB2312" w:hAnsi="仿宋" w:eastAsia="仿宋_GB2312" w:cs="仿宋"/>
                <w:sz w:val="28"/>
                <w:szCs w:val="28"/>
              </w:rPr>
            </w:pPr>
            <w:r>
              <w:rPr>
                <w:rFonts w:hint="eastAsia" w:ascii="仿宋_GB2312" w:hAnsi="仿宋" w:eastAsia="仿宋_GB2312" w:cs="仿宋"/>
                <w:b/>
                <w:bCs/>
                <w:sz w:val="28"/>
                <w:szCs w:val="28"/>
              </w:rPr>
              <w:t>安徽省生物基材料产业创新中心。</w:t>
            </w:r>
            <w:r>
              <w:rPr>
                <w:rFonts w:hint="eastAsia" w:ascii="仿宋_GB2312" w:hAnsi="仿宋" w:eastAsia="仿宋_GB2312" w:cs="仿宋"/>
                <w:sz w:val="28"/>
                <w:szCs w:val="28"/>
              </w:rPr>
              <w:t>联合国内高校、科研院所、行业领军企业共同组建安徽省生物基材料产业创新中心，重点围绕秸秆预处理、组分分离、酶制剂等非粮原料综合利用技术开展产业技术攻关，配套建设万吨级秸秆纤维素制乳酸示范工厂，推进乳酸、聚乳酸原料非粮化替代进程。</w:t>
            </w:r>
          </w:p>
          <w:p w14:paraId="07C0C924">
            <w:pPr>
              <w:adjustRightInd w:val="0"/>
              <w:snapToGrid w:val="0"/>
              <w:spacing w:line="480" w:lineRule="exact"/>
              <w:ind w:firstLine="562" w:firstLineChars="200"/>
              <w:rPr>
                <w:rFonts w:ascii="仿宋_GB2312" w:hAnsi="仿宋" w:eastAsia="仿宋_GB2312" w:cs="仿宋"/>
                <w:sz w:val="28"/>
                <w:szCs w:val="28"/>
              </w:rPr>
            </w:pPr>
            <w:r>
              <w:rPr>
                <w:rFonts w:hint="eastAsia" w:ascii="仿宋_GB2312" w:hAnsi="仿宋" w:eastAsia="仿宋_GB2312" w:cs="仿宋"/>
                <w:b/>
                <w:bCs/>
                <w:sz w:val="28"/>
                <w:szCs w:val="28"/>
              </w:rPr>
              <w:t>中科大（先进研究院）等离子体应用技术联合实验室。</w:t>
            </w:r>
            <w:r>
              <w:rPr>
                <w:rFonts w:hint="eastAsia" w:ascii="仿宋_GB2312" w:hAnsi="仿宋" w:eastAsia="仿宋_GB2312" w:cs="仿宋"/>
                <w:sz w:val="28"/>
                <w:szCs w:val="28"/>
              </w:rPr>
              <w:t>建设等离子体工程实验室、P2级生物实验室、等离子体测量分析实验室，争创国家实验室、国家技术创新中心等。</w:t>
            </w:r>
          </w:p>
          <w:p w14:paraId="4FDCBDA2">
            <w:pPr>
              <w:adjustRightInd w:val="0"/>
              <w:snapToGrid w:val="0"/>
              <w:spacing w:line="480" w:lineRule="exact"/>
              <w:ind w:firstLine="562" w:firstLineChars="200"/>
              <w:rPr>
                <w:rFonts w:ascii="仿宋_GB2312" w:hAnsi="仿宋" w:eastAsia="仿宋_GB2312" w:cs="仿宋"/>
                <w:sz w:val="28"/>
                <w:szCs w:val="28"/>
              </w:rPr>
            </w:pPr>
            <w:r>
              <w:rPr>
                <w:rFonts w:hint="eastAsia" w:ascii="仿宋_GB2312" w:hAnsi="仿宋" w:eastAsia="仿宋_GB2312" w:cs="仿宋"/>
                <w:b/>
                <w:bCs/>
                <w:sz w:val="28"/>
                <w:szCs w:val="28"/>
              </w:rPr>
              <w:t>海智计划安徽（蚌埠）国际人才中心项目。</w:t>
            </w:r>
            <w:r>
              <w:rPr>
                <w:rFonts w:hint="eastAsia" w:ascii="仿宋_GB2312" w:hAnsi="仿宋" w:eastAsia="仿宋_GB2312" w:cs="仿宋"/>
                <w:sz w:val="28"/>
                <w:szCs w:val="28"/>
              </w:rPr>
              <w:t>利用丰原集团海外人才联系渠道，为禹会区乃至蚌埠市国际人才高地建设增加新的渠道与平台，为海外科技人员回国创业搭建平台提供服务。</w:t>
            </w:r>
          </w:p>
          <w:p w14:paraId="79057B66">
            <w:pPr>
              <w:adjustRightInd w:val="0"/>
              <w:snapToGrid w:val="0"/>
              <w:spacing w:line="480" w:lineRule="exact"/>
              <w:ind w:firstLine="562" w:firstLineChars="200"/>
              <w:rPr>
                <w:rFonts w:ascii="仿宋_GB2312" w:hAnsi="仿宋" w:eastAsia="仿宋_GB2312" w:cs="仿宋"/>
                <w:sz w:val="28"/>
                <w:szCs w:val="28"/>
              </w:rPr>
            </w:pPr>
            <w:r>
              <w:rPr>
                <w:rFonts w:hint="eastAsia" w:ascii="仿宋_GB2312" w:hAnsi="仿宋" w:eastAsia="仿宋_GB2312" w:cs="仿宋"/>
                <w:b/>
                <w:sz w:val="28"/>
                <w:szCs w:val="28"/>
              </w:rPr>
              <w:t>中科大丰原纳米纤维素研究院项目。</w:t>
            </w:r>
            <w:r>
              <w:rPr>
                <w:rFonts w:hint="eastAsia" w:ascii="仿宋_GB2312" w:hAnsi="仿宋" w:eastAsia="仿宋_GB2312" w:cs="仿宋"/>
                <w:sz w:val="28"/>
                <w:szCs w:val="28"/>
              </w:rPr>
              <w:t>与中科大院士团队合作，研发天然纳米纤维素高性能结构材料（简称：CNFP），在轻量化抗冲击防护及缓冲材料、空间材料、精密仪器结构件等领域具有广阔的应用前景，可替代现有的工程塑料。</w:t>
            </w:r>
          </w:p>
          <w:p w14:paraId="299B0206">
            <w:pPr>
              <w:adjustRightInd w:val="0"/>
              <w:snapToGrid w:val="0"/>
              <w:spacing w:line="480" w:lineRule="exact"/>
              <w:ind w:firstLine="562" w:firstLineChars="200"/>
              <w:rPr>
                <w:rFonts w:ascii="仿宋_GB2312" w:hAnsi="仿宋" w:eastAsia="仿宋_GB2312" w:cs="仿宋"/>
                <w:sz w:val="28"/>
                <w:szCs w:val="28"/>
              </w:rPr>
            </w:pPr>
            <w:r>
              <w:rPr>
                <w:rFonts w:hint="eastAsia" w:ascii="仿宋_GB2312" w:hAnsi="仿宋" w:eastAsia="仿宋_GB2312" w:cs="仿宋"/>
                <w:b/>
                <w:bCs/>
                <w:sz w:val="28"/>
                <w:szCs w:val="28"/>
              </w:rPr>
              <w:t>聚乳酸新材料制造业创新中心。</w:t>
            </w:r>
            <w:r>
              <w:rPr>
                <w:rFonts w:hint="eastAsia" w:ascii="仿宋_GB2312" w:hAnsi="仿宋" w:eastAsia="仿宋_GB2312" w:cs="仿宋"/>
                <w:sz w:val="28"/>
                <w:szCs w:val="28"/>
              </w:rPr>
              <w:t>创建聚乳酸新材料国家制造业创新中心，完善从玉米→乳酸→丙交酯→聚乳酸的低成本、全产业链加工生产技术，带动聚乳酸生物材料应用市场发展。</w:t>
            </w:r>
          </w:p>
          <w:p w14:paraId="3E6D02DC">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新型显示技术创新平台</w:t>
            </w:r>
            <w:r>
              <w:rPr>
                <w:rFonts w:hint="eastAsia" w:ascii="仿宋_GB2312" w:hAnsi="仿宋" w:eastAsia="仿宋_GB2312" w:cs="Times New Roman"/>
                <w:sz w:val="28"/>
                <w:szCs w:val="28"/>
              </w:rPr>
              <w:t>。依托帝晶光电上下游产业链建设新型显示技术创新平台，进行新型显示技术及相关产品、材料、设备的研究、开发、设计、检验、检测，将成为新型显示技术的“前哨站”及研发实力积累的“大后方”。</w:t>
            </w:r>
          </w:p>
          <w:p w14:paraId="4DCF9537">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新型建材研发中心。</w:t>
            </w:r>
            <w:r>
              <w:rPr>
                <w:rFonts w:hint="eastAsia" w:ascii="仿宋_GB2312" w:hAnsi="仿宋" w:eastAsia="仿宋_GB2312" w:cs="Times New Roman"/>
                <w:sz w:val="28"/>
                <w:szCs w:val="28"/>
              </w:rPr>
              <w:t>充分发挥马城绿色建材产业园集聚优势，推动安徽建工、建华建材建设新型建材研发中心，推广应用绿色技术，开发新型环保型建筑材料以及多功能的建材产品。</w:t>
            </w:r>
          </w:p>
        </w:tc>
      </w:tr>
    </w:tbl>
    <w:p w14:paraId="4D18B134">
      <w:pPr>
        <w:adjustRightInd w:val="0"/>
        <w:snapToGrid w:val="0"/>
        <w:spacing w:line="560" w:lineRule="exact"/>
        <w:jc w:val="center"/>
        <w:outlineLvl w:val="1"/>
        <w:rPr>
          <w:rFonts w:ascii="楷体" w:hAnsi="楷体" w:eastAsia="楷体" w:cs="楷体"/>
          <w:b/>
          <w:bCs/>
          <w:kern w:val="0"/>
          <w:sz w:val="32"/>
          <w:szCs w:val="32"/>
        </w:rPr>
      </w:pPr>
      <w:bookmarkStart w:id="71" w:name="_Toc58081145"/>
    </w:p>
    <w:p w14:paraId="175ACADC">
      <w:pPr>
        <w:adjustRightInd w:val="0"/>
        <w:snapToGrid w:val="0"/>
        <w:spacing w:line="560" w:lineRule="exact"/>
        <w:jc w:val="center"/>
        <w:outlineLvl w:val="1"/>
        <w:rPr>
          <w:rFonts w:ascii="楷体" w:hAnsi="楷体" w:eastAsia="楷体" w:cs="楷体"/>
          <w:b/>
          <w:bCs/>
          <w:kern w:val="0"/>
          <w:sz w:val="32"/>
          <w:szCs w:val="32"/>
        </w:rPr>
      </w:pPr>
      <w:bookmarkStart w:id="72" w:name="_Toc60900793"/>
      <w:r>
        <w:rPr>
          <w:rFonts w:hint="eastAsia" w:ascii="楷体" w:hAnsi="楷体" w:eastAsia="楷体" w:cs="楷体"/>
          <w:b/>
          <w:bCs/>
          <w:kern w:val="0"/>
          <w:sz w:val="32"/>
          <w:szCs w:val="32"/>
        </w:rPr>
        <w:t>第二节  夯实做优承载平台</w:t>
      </w:r>
      <w:bookmarkEnd w:id="72"/>
    </w:p>
    <w:p w14:paraId="367F54F5">
      <w:pPr>
        <w:adjustRightInd w:val="0"/>
        <w:snapToGrid w:val="0"/>
        <w:spacing w:line="560" w:lineRule="exact"/>
        <w:ind w:firstLine="640" w:firstLineChars="200"/>
        <w:rPr>
          <w:rFonts w:ascii="仿宋_GB2312" w:hAnsi="仿宋" w:eastAsia="仿宋_GB2312" w:cs="Times New Roman"/>
          <w:color w:val="FF0000"/>
          <w:sz w:val="32"/>
          <w:szCs w:val="32"/>
        </w:rPr>
      </w:pPr>
      <w:r>
        <w:rPr>
          <w:rFonts w:hint="eastAsia" w:ascii="仿宋_GB2312" w:hAnsi="仿宋" w:eastAsia="仿宋_GB2312" w:cs="Times New Roman"/>
          <w:bCs/>
          <w:sz w:val="32"/>
          <w:szCs w:val="32"/>
        </w:rPr>
        <w:t>依托国家新型工业产业化示范基地，</w:t>
      </w:r>
      <w:r>
        <w:rPr>
          <w:rFonts w:hint="eastAsia" w:ascii="仿宋_GB2312" w:hAnsi="仿宋" w:eastAsia="仿宋_GB2312" w:cs="Times New Roman"/>
          <w:sz w:val="32"/>
          <w:szCs w:val="32"/>
        </w:rPr>
        <w:t>抓住皖北承接产业转移集聚区建设重大机遇，加快电子信息材料产业园、新型材料产业园、新能源产业园等专业化园区建设进度，高标准夯实产业承接载体。加快建成8万平方米科技研发中心、7.1万平方米商务办公、3000套人才公寓、五星级酒店、高端医疗、优质教育、人力资源平台、法律服务等配套设施，推动产城一体融合发展。</w:t>
      </w:r>
      <w:bookmarkEnd w:id="71"/>
      <w:r>
        <w:rPr>
          <w:rFonts w:hint="eastAsia" w:ascii="仿宋_GB2312" w:hAnsi="仿宋" w:eastAsia="仿宋_GB2312" w:cs="Times New Roman"/>
          <w:sz w:val="32"/>
          <w:szCs w:val="32"/>
        </w:rPr>
        <w:t>到2025年，吸引电子信息、新能源、高端装备制造等产业集聚，实现规上工业企业达120家，工业总产值突破350亿元。</w:t>
      </w:r>
      <w:r>
        <w:rPr>
          <w:rFonts w:hint="eastAsia" w:ascii="仿宋_GB2312" w:hAnsi="仿宋" w:eastAsia="仿宋_GB2312" w:cs="Times New Roman"/>
          <w:color w:val="FF0000"/>
          <w:sz w:val="32"/>
          <w:szCs w:val="32"/>
        </w:rPr>
        <w:t xml:space="preserve"> </w:t>
      </w:r>
    </w:p>
    <w:tbl>
      <w:tblPr>
        <w:tblStyle w:val="15"/>
        <w:tblpPr w:leftFromText="180" w:rightFromText="180" w:vertAnchor="text" w:horzAnchor="page" w:tblpX="2033" w:tblpY="5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5"/>
      </w:tblGrid>
      <w:tr w14:paraId="0C03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5" w:type="dxa"/>
          </w:tcPr>
          <w:p w14:paraId="4086B9FF">
            <w:pPr>
              <w:adjustRightInd w:val="0"/>
              <w:snapToGrid w:val="0"/>
              <w:spacing w:line="480" w:lineRule="exact"/>
              <w:ind w:firstLine="560" w:firstLineChars="200"/>
              <w:jc w:val="center"/>
              <w:rPr>
                <w:rFonts w:ascii="黑体" w:hAnsi="黑体" w:eastAsia="黑体" w:cs="Times New Roman"/>
                <w:sz w:val="28"/>
                <w:szCs w:val="28"/>
              </w:rPr>
            </w:pPr>
            <w:r>
              <w:rPr>
                <w:rFonts w:hint="eastAsia" w:ascii="黑体" w:hAnsi="黑体" w:eastAsia="黑体" w:cs="黑体"/>
                <w:sz w:val="28"/>
                <w:szCs w:val="28"/>
              </w:rPr>
              <w:t>专栏4：产业平台项目</w:t>
            </w:r>
          </w:p>
          <w:p w14:paraId="62773B43">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国家新型工业化产业示范基地项目（承接产业转移集聚区）。</w:t>
            </w:r>
            <w:r>
              <w:rPr>
                <w:rFonts w:hint="eastAsia" w:ascii="仿宋_GB2312" w:hAnsi="仿宋" w:eastAsia="仿宋_GB2312" w:cs="Times New Roman"/>
                <w:sz w:val="28"/>
                <w:szCs w:val="28"/>
              </w:rPr>
              <w:t>主要建设新材料产业园、电子信息科技产业园、双创孵化产业园、食品产业园、新型智造产业园、研发型产业园等专业园区，以及8万平方米研发中心等相关配套设施。</w:t>
            </w:r>
          </w:p>
          <w:p w14:paraId="0876B49E">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蚌埠港现代物流国际集装箱码头产业园项目。</w:t>
            </w:r>
            <w:r>
              <w:rPr>
                <w:rFonts w:hint="eastAsia" w:ascii="仿宋_GB2312" w:hAnsi="仿宋" w:eastAsia="仿宋_GB2312" w:cs="Times New Roman"/>
                <w:sz w:val="28"/>
                <w:szCs w:val="28"/>
              </w:rPr>
              <w:t>依托蚌埠港现有资源，加强与省港航集团合作，推动蚌埠闸三线船闸建设，提升通航能力。新建4个2000吨级集装箱泊位和560万吨散件作业区，新建商务中心、物流中心等，形成一区两心功能布局。</w:t>
            </w:r>
          </w:p>
          <w:p w14:paraId="2C88F4D3">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蚌埠市绿色建筑材料产业园项目（马城）。</w:t>
            </w:r>
            <w:r>
              <w:rPr>
                <w:rFonts w:hint="eastAsia" w:ascii="仿宋_GB2312" w:hAnsi="仿宋" w:eastAsia="仿宋_GB2312" w:cs="Times New Roman"/>
                <w:sz w:val="28"/>
                <w:szCs w:val="28"/>
              </w:rPr>
              <w:t>借力引江济淮工程和跨天河通道建设，对马城绿色建材产业园、中宏码头等现有优势资源加以整合，建设集码头作业区、仓储物流区、新型建材大市场、新型建材生产制造中心为一体的产业园。</w:t>
            </w:r>
          </w:p>
        </w:tc>
      </w:tr>
    </w:tbl>
    <w:p w14:paraId="316869FF">
      <w:pPr>
        <w:autoSpaceDE w:val="0"/>
        <w:autoSpaceDN w:val="0"/>
        <w:adjustRightInd w:val="0"/>
        <w:snapToGrid w:val="0"/>
        <w:spacing w:line="560" w:lineRule="exact"/>
        <w:ind w:firstLine="643" w:firstLineChars="200"/>
        <w:jc w:val="center"/>
        <w:outlineLvl w:val="1"/>
        <w:rPr>
          <w:rFonts w:ascii="楷体" w:hAnsi="楷体" w:eastAsia="楷体" w:cs="楷体"/>
          <w:b/>
          <w:bCs/>
          <w:kern w:val="0"/>
          <w:sz w:val="32"/>
          <w:szCs w:val="32"/>
        </w:rPr>
      </w:pPr>
      <w:bookmarkStart w:id="73" w:name="_Toc58081146"/>
      <w:bookmarkStart w:id="74" w:name="_Toc31252"/>
    </w:p>
    <w:p w14:paraId="38004211">
      <w:pPr>
        <w:autoSpaceDE w:val="0"/>
        <w:autoSpaceDN w:val="0"/>
        <w:adjustRightInd w:val="0"/>
        <w:snapToGrid w:val="0"/>
        <w:spacing w:line="560" w:lineRule="exact"/>
        <w:ind w:firstLine="643" w:firstLineChars="200"/>
        <w:jc w:val="center"/>
        <w:outlineLvl w:val="1"/>
        <w:rPr>
          <w:rFonts w:ascii="楷体" w:hAnsi="楷体" w:eastAsia="楷体" w:cs="楷体"/>
          <w:bCs/>
          <w:sz w:val="32"/>
          <w:szCs w:val="32"/>
        </w:rPr>
      </w:pPr>
      <w:bookmarkStart w:id="75" w:name="_Toc60900794"/>
      <w:r>
        <w:rPr>
          <w:rFonts w:hint="eastAsia" w:ascii="楷体" w:hAnsi="楷体" w:eastAsia="楷体" w:cs="楷体"/>
          <w:b/>
          <w:bCs/>
          <w:kern w:val="0"/>
          <w:sz w:val="32"/>
          <w:szCs w:val="32"/>
        </w:rPr>
        <w:t>第三节  推动产业延链强链</w:t>
      </w:r>
      <w:bookmarkEnd w:id="73"/>
      <w:bookmarkEnd w:id="74"/>
      <w:bookmarkEnd w:id="75"/>
    </w:p>
    <w:p w14:paraId="1F09F82B">
      <w:pPr>
        <w:spacing w:line="560" w:lineRule="exact"/>
        <w:ind w:firstLine="640" w:firstLineChars="200"/>
        <w:jc w:val="left"/>
        <w:rPr>
          <w:rFonts w:ascii="仿宋_GB2312" w:hAnsi="仿宋" w:eastAsia="仿宋_GB2312" w:cs="宋体"/>
          <w:sz w:val="32"/>
          <w:szCs w:val="32"/>
        </w:rPr>
      </w:pPr>
      <w:r>
        <w:rPr>
          <w:rFonts w:hint="eastAsia" w:ascii="仿宋_GB2312" w:hAnsi="仿宋" w:eastAsia="仿宋_GB2312" w:cs="宋体"/>
          <w:color w:val="000000"/>
          <w:kern w:val="0"/>
          <w:sz w:val="32"/>
          <w:szCs w:val="32"/>
        </w:rPr>
        <w:t>坚持工业强区战略不动摇，把工业强区作为经济工作的“一号工程”、招商引资作为工业强区的“一号工地”,</w:t>
      </w:r>
      <w:r>
        <w:rPr>
          <w:rFonts w:hint="eastAsia" w:ascii="仿宋_GB2312" w:hAnsi="仿宋" w:eastAsia="仿宋_GB2312" w:cs="宋体"/>
          <w:sz w:val="32"/>
          <w:szCs w:val="32"/>
        </w:rPr>
        <w:t>抢抓自贸区建设机遇，依托“基地+基金”的方式，在“科学构建产业链、提升品质优结构”上下功夫，努力打造较为完善的“</w:t>
      </w:r>
      <w:r>
        <w:rPr>
          <w:rFonts w:hint="eastAsia" w:ascii="仿宋_GB2312" w:hAnsi="仿宋" w:eastAsia="仿宋_GB2312" w:cs="宋体"/>
          <w:b/>
          <w:sz w:val="32"/>
          <w:szCs w:val="32"/>
        </w:rPr>
        <w:t>新电感应”的产业体系</w:t>
      </w:r>
      <w:r>
        <w:rPr>
          <w:rFonts w:hint="eastAsia" w:ascii="仿宋_GB2312" w:hAnsi="仿宋" w:eastAsia="仿宋_GB2312" w:cs="宋体"/>
          <w:sz w:val="32"/>
          <w:szCs w:val="32"/>
        </w:rPr>
        <w:t>（“新”指新能源、新材料、新型建材；“电”指电子信息产业及智能终端装备制造；“感”指：传感器；“应”指：产业链的延伸和新材料综合应用），形成新的经济增长点。在新能源方面，重点围绕锂电池材料（湖南杉杉、青岛乾运）-锂电池（天齐锂业、禹诺新能源）-锂电池检测（星云股份、衡翼能）-锂电充电桩（宁德时代、鑫富华）-换电平台（新能源电池区域管理基地），形成新能源生产应用产业链；围绕电子产品整机（电视机、智能手机）制造推动注塑（贵恩材料）-新型显示（友戎创科技、国显科技）-模组（帝晶光电、凯林威科技）-智能终端（宝莱德、轩纬科技、天乐时代）的产业体系；围绕芯片设计（中科米微）-晶圆制造（锐发科技）-封装测试（海滨半导体），完善传感器产业链，增强产业链供应链自主可控力，打造具有重要影响力的</w:t>
      </w:r>
      <w:r>
        <w:rPr>
          <w:rFonts w:hint="eastAsia" w:ascii="仿宋_GB2312" w:hAnsi="仿宋" w:eastAsia="仿宋_GB2312" w:cs="宋体"/>
          <w:b/>
          <w:sz w:val="32"/>
          <w:szCs w:val="32"/>
        </w:rPr>
        <w:t>新兴产业集聚地。</w:t>
      </w:r>
      <w:r>
        <w:rPr>
          <w:rFonts w:hint="eastAsia" w:ascii="仿宋_GB2312" w:hAnsi="仿宋" w:eastAsia="仿宋_GB2312" w:cs="宋体"/>
          <w:sz w:val="32"/>
          <w:szCs w:val="32"/>
        </w:rPr>
        <w:t>到2025年末，力争培育产值超100亿元企业1家，产值超50亿元企业2家，产值超10亿元企业6家，产值超5亿元企业10家，产值超1亿元企业40家。</w:t>
      </w:r>
    </w:p>
    <w:p w14:paraId="664EA128">
      <w:pPr>
        <w:spacing w:line="560" w:lineRule="exact"/>
        <w:ind w:firstLine="640" w:firstLineChars="200"/>
        <w:jc w:val="left"/>
        <w:rPr>
          <w:rFonts w:ascii="仿宋_GB2312" w:hAnsi="仿宋" w:eastAsia="仿宋_GB2312" w:cs="宋体"/>
          <w:sz w:val="32"/>
          <w:szCs w:val="32"/>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5"/>
      </w:tblGrid>
      <w:tr w14:paraId="1348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5" w:type="dxa"/>
          </w:tcPr>
          <w:p w14:paraId="1E52A5D6">
            <w:pPr>
              <w:adjustRightInd w:val="0"/>
              <w:snapToGrid w:val="0"/>
              <w:spacing w:line="480" w:lineRule="exact"/>
              <w:ind w:firstLine="560" w:firstLineChars="200"/>
              <w:jc w:val="center"/>
              <w:rPr>
                <w:rFonts w:ascii="黑体" w:hAnsi="黑体" w:eastAsia="黑体" w:cs="黑体"/>
                <w:sz w:val="28"/>
                <w:szCs w:val="28"/>
              </w:rPr>
            </w:pPr>
            <w:r>
              <w:rPr>
                <w:rFonts w:hint="eastAsia" w:ascii="黑体" w:hAnsi="黑体" w:eastAsia="黑体" w:cs="黑体"/>
                <w:sz w:val="28"/>
                <w:szCs w:val="28"/>
              </w:rPr>
              <w:t>专栏5：产业链项目</w:t>
            </w:r>
          </w:p>
          <w:p w14:paraId="44543253">
            <w:pPr>
              <w:adjustRightInd w:val="0"/>
              <w:snapToGrid w:val="0"/>
              <w:spacing w:line="480" w:lineRule="exact"/>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【电子信息重点项目】</w:t>
            </w:r>
          </w:p>
          <w:p w14:paraId="0D73778D">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bCs/>
                <w:sz w:val="28"/>
                <w:szCs w:val="28"/>
              </w:rPr>
              <w:t>帝晶显示模组生产基地项目。</w:t>
            </w:r>
            <w:r>
              <w:rPr>
                <w:rFonts w:hint="eastAsia" w:ascii="仿宋_GB2312" w:hAnsi="仿宋" w:eastAsia="仿宋_GB2312" w:cs="Times New Roman"/>
                <w:sz w:val="28"/>
                <w:szCs w:val="28"/>
              </w:rPr>
              <w:t>主要建设TFE显示模组、电容式触摸屏、TLCM全贴合产品生产线。</w:t>
            </w:r>
          </w:p>
          <w:p w14:paraId="4E4C8929">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bCs/>
                <w:sz w:val="28"/>
                <w:szCs w:val="28"/>
              </w:rPr>
              <w:t>高端装备制造产业园项目。</w:t>
            </w:r>
            <w:r>
              <w:rPr>
                <w:rFonts w:hint="eastAsia" w:ascii="仿宋_GB2312" w:hAnsi="仿宋" w:eastAsia="仿宋_GB2312" w:cs="Times New Roman"/>
                <w:sz w:val="28"/>
                <w:szCs w:val="28"/>
              </w:rPr>
              <w:t>规划78条SMT生产线，建设SMT智能焊接设备制造、超高清LED及AMOLED显示屏等高端装备制造产业园。</w:t>
            </w:r>
          </w:p>
          <w:p w14:paraId="0CF4075B">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bCs/>
                <w:sz w:val="28"/>
                <w:szCs w:val="28"/>
              </w:rPr>
              <w:t>微显示模组器件生产基地项目。</w:t>
            </w:r>
            <w:r>
              <w:rPr>
                <w:rFonts w:hint="eastAsia" w:ascii="仿宋_GB2312" w:hAnsi="仿宋" w:eastAsia="仿宋_GB2312" w:cs="Times New Roman"/>
                <w:sz w:val="28"/>
                <w:szCs w:val="28"/>
              </w:rPr>
              <w:t>规划建设两条新型显示光学模组生产线，一是硅基OLED微显器件光学模组生产线，同步建设可靠性试验中心和光学研发中心；二是光电显示器件加固模组生产线。</w:t>
            </w:r>
          </w:p>
          <w:p w14:paraId="74BF72EA">
            <w:pPr>
              <w:adjustRightInd w:val="0"/>
              <w:snapToGrid w:val="0"/>
              <w:spacing w:line="480" w:lineRule="exact"/>
              <w:ind w:firstLine="562" w:firstLineChars="200"/>
              <w:rPr>
                <w:rFonts w:ascii="仿宋_GB2312" w:hAnsi="仿宋" w:eastAsia="仿宋_GB2312" w:cs="Times New Roman"/>
                <w:b/>
                <w:color w:val="FF0000"/>
                <w:sz w:val="28"/>
                <w:szCs w:val="28"/>
              </w:rPr>
            </w:pPr>
            <w:r>
              <w:rPr>
                <w:rFonts w:hint="eastAsia" w:ascii="仿宋_GB2312" w:hAnsi="仿宋" w:eastAsia="仿宋_GB2312" w:cs="Times New Roman"/>
                <w:b/>
                <w:bCs/>
                <w:sz w:val="28"/>
                <w:szCs w:val="28"/>
              </w:rPr>
              <w:t>天乐时代智能终端制造项目。</w:t>
            </w:r>
            <w:r>
              <w:rPr>
                <w:rFonts w:hint="eastAsia" w:ascii="仿宋_GB2312" w:hAnsi="仿宋" w:eastAsia="仿宋_GB2312" w:cs="Times New Roman"/>
                <w:sz w:val="28"/>
                <w:szCs w:val="28"/>
              </w:rPr>
              <w:t>规划建设移动通讯终端、智能穿戴生产线和测试研发中心，同步引进上下游产业链企业，打造有影响力的智能终端制造企业。</w:t>
            </w:r>
          </w:p>
          <w:p w14:paraId="22FEA88E">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轩纬智能电子产品研发制造项目。</w:t>
            </w:r>
            <w:r>
              <w:rPr>
                <w:rFonts w:hint="eastAsia" w:ascii="仿宋_GB2312" w:hAnsi="仿宋" w:eastAsia="仿宋_GB2312" w:cs="Times New Roman"/>
                <w:sz w:val="28"/>
                <w:szCs w:val="28"/>
              </w:rPr>
              <w:t>建设智能穿戴生产线、消费类电子产品生产线、智能环保周转箱生产线、厨卫垃圾处理器生产线、嵌入式工业主板及模块生产线共7条。</w:t>
            </w:r>
          </w:p>
          <w:p w14:paraId="54025D84">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宝莱德智能终端产业园项目。</w:t>
            </w:r>
            <w:r>
              <w:rPr>
                <w:rFonts w:hint="eastAsia" w:ascii="仿宋_GB2312" w:hAnsi="仿宋" w:eastAsia="仿宋_GB2312" w:cs="Times New Roman"/>
                <w:sz w:val="28"/>
                <w:szCs w:val="28"/>
              </w:rPr>
              <w:t>主要建设集智能电视、商用显示、电脑一体机等产品的研发、生产和销售基地，年产120万台智能终端（电视）整机和200万片LCM模组。</w:t>
            </w:r>
          </w:p>
          <w:p w14:paraId="45B90173">
            <w:pPr>
              <w:adjustRightInd w:val="0"/>
              <w:snapToGrid w:val="0"/>
              <w:spacing w:line="480" w:lineRule="exact"/>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【新能源重点项目】</w:t>
            </w:r>
          </w:p>
          <w:p w14:paraId="7314DBD3">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bCs/>
                <w:sz w:val="28"/>
                <w:szCs w:val="28"/>
              </w:rPr>
              <w:t>新能源充电桩项目。</w:t>
            </w:r>
            <w:r>
              <w:rPr>
                <w:rFonts w:hint="eastAsia" w:ascii="仿宋_GB2312" w:hAnsi="仿宋" w:eastAsia="仿宋_GB2312" w:cs="Times New Roman"/>
                <w:sz w:val="28"/>
                <w:szCs w:val="28"/>
              </w:rPr>
              <w:t>建设电单车充电桩智能装配线、智能检测线、老化检测线及五金生产线各2条；建设低速及高速汽车充电桩智能装配线、智能检测线、老化检测线及五金生产线各2条。</w:t>
            </w:r>
          </w:p>
          <w:p w14:paraId="01C82B8B">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bCs/>
                <w:sz w:val="28"/>
                <w:szCs w:val="28"/>
              </w:rPr>
              <w:t>新能源动力储能项目。</w:t>
            </w:r>
            <w:r>
              <w:rPr>
                <w:rFonts w:hint="eastAsia" w:ascii="仿宋_GB2312" w:hAnsi="仿宋" w:eastAsia="仿宋_GB2312" w:cs="Times New Roman"/>
                <w:sz w:val="28"/>
                <w:szCs w:val="28"/>
              </w:rPr>
              <w:t>建设新能源电池生产、测试配套、售后服务、技术中心。</w:t>
            </w:r>
          </w:p>
          <w:p w14:paraId="79081237">
            <w:pPr>
              <w:adjustRightInd w:val="0"/>
              <w:snapToGrid w:val="0"/>
              <w:spacing w:line="480" w:lineRule="exact"/>
              <w:ind w:firstLine="560" w:firstLineChars="200"/>
              <w:rPr>
                <w:rFonts w:ascii="仿宋_GB2312" w:hAnsi="仿宋" w:eastAsia="仿宋_GB2312" w:cs="Times New Roman"/>
                <w:sz w:val="28"/>
                <w:szCs w:val="28"/>
              </w:rPr>
            </w:pPr>
          </w:p>
        </w:tc>
      </w:tr>
    </w:tbl>
    <w:p w14:paraId="661C65C5">
      <w:pPr>
        <w:spacing w:line="560" w:lineRule="exact"/>
        <w:jc w:val="center"/>
        <w:outlineLvl w:val="1"/>
        <w:rPr>
          <w:rFonts w:ascii="楷体" w:hAnsi="楷体" w:eastAsia="楷体" w:cs="楷体"/>
          <w:b/>
          <w:color w:val="000000"/>
          <w:kern w:val="0"/>
          <w:sz w:val="32"/>
          <w:szCs w:val="32"/>
        </w:rPr>
      </w:pPr>
      <w:bookmarkStart w:id="76" w:name="_Toc60900795"/>
    </w:p>
    <w:p w14:paraId="36E83245">
      <w:pPr>
        <w:spacing w:line="560" w:lineRule="exact"/>
        <w:jc w:val="center"/>
        <w:outlineLvl w:val="1"/>
        <w:rPr>
          <w:rFonts w:ascii="楷体" w:hAnsi="楷体" w:eastAsia="楷体" w:cs="楷体"/>
          <w:b/>
          <w:color w:val="000000"/>
          <w:kern w:val="0"/>
          <w:sz w:val="32"/>
          <w:szCs w:val="32"/>
        </w:rPr>
      </w:pPr>
      <w:r>
        <w:rPr>
          <w:rFonts w:hint="eastAsia" w:ascii="楷体" w:hAnsi="楷体" w:eastAsia="楷体" w:cs="楷体"/>
          <w:b/>
          <w:color w:val="000000"/>
          <w:kern w:val="0"/>
          <w:sz w:val="32"/>
          <w:szCs w:val="32"/>
        </w:rPr>
        <w:t>第四节  服务蚌淮一体化建设</w:t>
      </w:r>
      <w:bookmarkEnd w:id="76"/>
    </w:p>
    <w:p w14:paraId="2856A3C4">
      <w:pPr>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抢抓蚌埠“西融”发展机遇，科学分析马城区域的功能定位，依托引江济淮工程、天河跨河通道等项目建设，马城区位优势将进一步显现。加快涂山、天河、大洪山绿色生态长廊建设，打造产业强镇、生态美镇、幸福小镇。马城绿色建材产业园开工建设，承接方阵商砼、绿水青山等退市进园企业产业转移，促进建华建材、元鼎市政等12个招商引资项目入园发展，</w:t>
      </w:r>
      <w:r>
        <w:rPr>
          <w:rFonts w:hint="eastAsia" w:ascii="仿宋_GB2312" w:hAnsi="仿宋" w:eastAsia="仿宋_GB2312" w:cs="宋体"/>
          <w:sz w:val="32"/>
          <w:szCs w:val="32"/>
        </w:rPr>
        <w:t>打造集砂石资源开发交易（水投集团、中联水泥）-商砼砂浆（方阵、绿水青山）-PC构件（建华建材、元鼎市政）-资质建筑业企业（安徽建工、水安集团）的闭环产业体系</w:t>
      </w:r>
      <w:r>
        <w:rPr>
          <w:rFonts w:hint="eastAsia" w:ascii="仿宋_GB2312" w:hAnsi="仿宋" w:eastAsia="仿宋_GB2312" w:cs="宋体"/>
          <w:color w:val="000000"/>
          <w:kern w:val="0"/>
          <w:sz w:val="32"/>
          <w:szCs w:val="32"/>
        </w:rPr>
        <w:t>。推进产业园区“前港+后场（厂）”模式发展，加快生产、交易、集散中心等功能板块建设，培育淮河流域新型建材重要的生产交易中心，将马城区域打造成蚌淮一体化的桥头堡。</w:t>
      </w:r>
    </w:p>
    <w:tbl>
      <w:tblPr>
        <w:tblStyle w:val="15"/>
        <w:tblpPr w:leftFromText="180" w:rightFromText="180" w:vertAnchor="text" w:horzAnchor="page" w:tblpX="2033" w:tblpY="5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5"/>
      </w:tblGrid>
      <w:tr w14:paraId="6B12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5" w:type="dxa"/>
          </w:tcPr>
          <w:p w14:paraId="7995C657">
            <w:pPr>
              <w:adjustRightInd w:val="0"/>
              <w:snapToGrid w:val="0"/>
              <w:spacing w:line="480" w:lineRule="exact"/>
              <w:ind w:firstLine="560" w:firstLineChars="200"/>
              <w:jc w:val="center"/>
              <w:rPr>
                <w:rFonts w:ascii="黑体" w:hAnsi="黑体" w:eastAsia="黑体" w:cs="黑体"/>
                <w:sz w:val="28"/>
                <w:szCs w:val="28"/>
              </w:rPr>
            </w:pPr>
            <w:r>
              <w:rPr>
                <w:rFonts w:hint="eastAsia" w:ascii="黑体" w:hAnsi="黑体" w:eastAsia="黑体" w:cs="黑体"/>
                <w:sz w:val="28"/>
                <w:szCs w:val="28"/>
              </w:rPr>
              <w:t>专栏6：马城区域建设项目</w:t>
            </w:r>
          </w:p>
          <w:p w14:paraId="4AAC9FE0">
            <w:pPr>
              <w:adjustRightInd w:val="0"/>
              <w:snapToGrid w:val="0"/>
              <w:spacing w:line="480" w:lineRule="exact"/>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【砼结构件生产类项目】</w:t>
            </w:r>
          </w:p>
          <w:p w14:paraId="73E4EEF0">
            <w:pPr>
              <w:adjustRightInd w:val="0"/>
              <w:snapToGrid w:val="0"/>
              <w:spacing w:line="480" w:lineRule="exact"/>
              <w:ind w:firstLine="562" w:firstLineChars="200"/>
              <w:rPr>
                <w:rFonts w:ascii="仿宋_GB2312" w:hAnsi="仿宋" w:eastAsia="仿宋_GB2312" w:cs="Times New Roman"/>
                <w:bCs/>
                <w:sz w:val="28"/>
                <w:szCs w:val="28"/>
              </w:rPr>
            </w:pPr>
            <w:r>
              <w:rPr>
                <w:rFonts w:hint="eastAsia" w:ascii="仿宋_GB2312" w:hAnsi="仿宋" w:eastAsia="仿宋_GB2312" w:cs="Times New Roman"/>
                <w:b/>
                <w:bCs/>
                <w:sz w:val="28"/>
                <w:szCs w:val="28"/>
              </w:rPr>
              <w:t>安徽建工新型建材产业园项目。</w:t>
            </w:r>
            <w:r>
              <w:rPr>
                <w:rFonts w:hint="eastAsia" w:ascii="仿宋_GB2312" w:hAnsi="仿宋" w:eastAsia="仿宋_GB2312" w:cs="Times New Roman"/>
                <w:bCs/>
                <w:sz w:val="28"/>
                <w:szCs w:val="28"/>
              </w:rPr>
              <w:t>建设绿色环保全封闭商品混凝土拌合站生产线、混凝土减水剂复配生产线、装配式建筑及混凝土预制构件生产线及仓储物流等，建成后年产值达20亿元以上。</w:t>
            </w:r>
          </w:p>
          <w:p w14:paraId="4AF777CB">
            <w:pPr>
              <w:adjustRightInd w:val="0"/>
              <w:snapToGrid w:val="0"/>
              <w:spacing w:line="480" w:lineRule="exact"/>
              <w:ind w:firstLine="562" w:firstLineChars="200"/>
              <w:rPr>
                <w:rFonts w:ascii="仿宋_GB2312" w:hAnsi="仿宋" w:eastAsia="仿宋_GB2312" w:cs="Times New Roman"/>
                <w:bCs/>
                <w:sz w:val="28"/>
                <w:szCs w:val="28"/>
              </w:rPr>
            </w:pPr>
            <w:r>
              <w:rPr>
                <w:rFonts w:hint="eastAsia" w:ascii="仿宋_GB2312" w:hAnsi="仿宋" w:eastAsia="仿宋_GB2312" w:cs="Times New Roman"/>
                <w:b/>
                <w:bCs/>
                <w:sz w:val="28"/>
                <w:szCs w:val="28"/>
              </w:rPr>
              <w:t>元鼎市政工程产业化项目。</w:t>
            </w:r>
            <w:r>
              <w:rPr>
                <w:rFonts w:hint="eastAsia" w:ascii="仿宋_GB2312" w:hAnsi="仿宋" w:eastAsia="仿宋_GB2312" w:cs="Times New Roman"/>
                <w:bCs/>
                <w:sz w:val="28"/>
                <w:szCs w:val="28"/>
              </w:rPr>
              <w:t>建设装配式砼检查井组件、压铸排水管生产线、地下综合管廊和箱涵生产线、桥梁Ｔ型梁和箱型梁生产线、高强钢绞线网片生产线、MO1高强抗磨砂浆生产线等，年产值4.6亿元以上。</w:t>
            </w:r>
          </w:p>
          <w:p w14:paraId="4DDD6A8D">
            <w:pPr>
              <w:adjustRightInd w:val="0"/>
              <w:snapToGrid w:val="0"/>
              <w:spacing w:line="480" w:lineRule="exact"/>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另有金鹏装配式建筑产业园、汤始建华年产4万立方米</w:t>
            </w:r>
            <w:r>
              <w:rPr>
                <w:rFonts w:hint="eastAsia" w:ascii="仿宋_GB2312" w:hAnsi="仿宋_GB2312" w:eastAsia="仿宋_GB2312" w:cs="仿宋_GB2312"/>
                <w:b/>
                <w:bCs/>
                <w:sz w:val="28"/>
                <w:szCs w:val="28"/>
              </w:rPr>
              <w:t>新型混凝土预制构件</w:t>
            </w:r>
            <w:r>
              <w:rPr>
                <w:rFonts w:hint="eastAsia" w:ascii="仿宋_GB2312" w:hAnsi="仿宋" w:eastAsia="仿宋_GB2312" w:cs="Times New Roman"/>
                <w:b/>
                <w:bCs/>
                <w:sz w:val="28"/>
                <w:szCs w:val="28"/>
              </w:rPr>
              <w:t>等8个项目，总投资40.2亿元。</w:t>
            </w:r>
          </w:p>
          <w:p w14:paraId="420E66DB">
            <w:pPr>
              <w:adjustRightInd w:val="0"/>
              <w:snapToGrid w:val="0"/>
              <w:spacing w:line="480" w:lineRule="exact"/>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【干混砂浆、商品砼及石料加工类项目】</w:t>
            </w:r>
          </w:p>
          <w:p w14:paraId="32A40551">
            <w:pPr>
              <w:adjustRightInd w:val="0"/>
              <w:snapToGrid w:val="0"/>
              <w:spacing w:line="480" w:lineRule="exact"/>
              <w:ind w:firstLine="562" w:firstLineChars="200"/>
              <w:rPr>
                <w:rFonts w:ascii="仿宋_GB2312" w:hAnsi="仿宋" w:eastAsia="仿宋_GB2312" w:cs="Times New Roman"/>
                <w:bCs/>
                <w:sz w:val="28"/>
                <w:szCs w:val="28"/>
              </w:rPr>
            </w:pPr>
            <w:r>
              <w:rPr>
                <w:rFonts w:hint="eastAsia" w:ascii="仿宋_GB2312" w:hAnsi="仿宋" w:eastAsia="仿宋_GB2312" w:cs="Times New Roman"/>
                <w:b/>
                <w:bCs/>
                <w:sz w:val="28"/>
                <w:szCs w:val="28"/>
              </w:rPr>
              <w:t>中联水泥水泥粉磨生产线技改项目。</w:t>
            </w:r>
            <w:r>
              <w:rPr>
                <w:rFonts w:hint="eastAsia" w:ascii="仿宋_GB2312" w:hAnsi="仿宋" w:eastAsia="仿宋_GB2312" w:cs="Times New Roman"/>
                <w:bCs/>
                <w:sz w:val="28"/>
                <w:szCs w:val="28"/>
              </w:rPr>
              <w:t>建设年产200万吨水泥粉磨生产线，年产值10亿元以上。</w:t>
            </w:r>
          </w:p>
          <w:p w14:paraId="6F80EF77">
            <w:pPr>
              <w:adjustRightInd w:val="0"/>
              <w:snapToGrid w:val="0"/>
              <w:spacing w:line="480" w:lineRule="exact"/>
              <w:ind w:firstLine="562" w:firstLineChars="200"/>
              <w:rPr>
                <w:rFonts w:ascii="仿宋_GB2312" w:hAnsi="仿宋_GB2312" w:eastAsia="仿宋_GB2312" w:cs="仿宋_GB2312"/>
                <w:bCs/>
                <w:sz w:val="28"/>
                <w:szCs w:val="28"/>
              </w:rPr>
            </w:pPr>
            <w:r>
              <w:rPr>
                <w:rFonts w:hint="eastAsia" w:ascii="仿宋_GB2312" w:hAnsi="仿宋" w:eastAsia="仿宋_GB2312" w:cs="Times New Roman"/>
                <w:b/>
                <w:bCs/>
                <w:sz w:val="28"/>
                <w:szCs w:val="28"/>
              </w:rPr>
              <w:t>方阵年产300万立方米</w:t>
            </w:r>
            <w:r>
              <w:rPr>
                <w:rFonts w:hint="eastAsia" w:ascii="仿宋_GB2312" w:hAnsi="仿宋_GB2312" w:eastAsia="仿宋_GB2312" w:cs="仿宋_GB2312"/>
                <w:b/>
                <w:bCs/>
                <w:sz w:val="28"/>
                <w:szCs w:val="28"/>
              </w:rPr>
              <w:t>商砼</w:t>
            </w:r>
            <w:r>
              <w:rPr>
                <w:rFonts w:hint="eastAsia" w:ascii="仿宋_GB2312" w:hAnsi="仿宋" w:eastAsia="仿宋_GB2312" w:cs="Times New Roman"/>
                <w:b/>
                <w:bCs/>
                <w:sz w:val="28"/>
                <w:szCs w:val="28"/>
              </w:rPr>
              <w:t>100万立方米</w:t>
            </w:r>
            <w:r>
              <w:rPr>
                <w:rFonts w:hint="eastAsia" w:ascii="仿宋_GB2312" w:hAnsi="仿宋_GB2312" w:eastAsia="仿宋_GB2312" w:cs="仿宋_GB2312"/>
                <w:b/>
                <w:bCs/>
                <w:sz w:val="28"/>
                <w:szCs w:val="28"/>
              </w:rPr>
              <w:t>砂浆生产线项目。</w:t>
            </w:r>
            <w:r>
              <w:rPr>
                <w:rFonts w:hint="eastAsia" w:ascii="仿宋_GB2312" w:hAnsi="仿宋_GB2312" w:eastAsia="仿宋_GB2312" w:cs="仿宋_GB2312"/>
                <w:bCs/>
                <w:sz w:val="28"/>
                <w:szCs w:val="28"/>
              </w:rPr>
              <w:t>建设6条商砼生产线、4条干混砂浆生产线，年产300万立方米商砼、100万立方米干混砂浆，年产值7亿元以上。</w:t>
            </w:r>
          </w:p>
          <w:p w14:paraId="34E4FD41">
            <w:pPr>
              <w:adjustRightInd w:val="0"/>
              <w:snapToGrid w:val="0"/>
              <w:spacing w:line="480" w:lineRule="exact"/>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另有众信干混砂浆商品砼生产、天昕新型环保建材配套等16个项目，总投资达23.7亿元。</w:t>
            </w:r>
          </w:p>
          <w:p w14:paraId="1A41761B">
            <w:pPr>
              <w:adjustRightInd w:val="0"/>
              <w:snapToGrid w:val="0"/>
              <w:spacing w:line="480" w:lineRule="exact"/>
              <w:ind w:firstLine="562" w:firstLineChars="200"/>
              <w:rPr>
                <w:rFonts w:ascii="仿宋_GB2312" w:hAnsi="仿宋" w:eastAsia="仿宋_GB2312" w:cs="Times New Roman"/>
                <w:b/>
                <w:sz w:val="28"/>
                <w:szCs w:val="28"/>
              </w:rPr>
            </w:pPr>
            <w:r>
              <w:rPr>
                <w:rFonts w:hint="eastAsia" w:ascii="仿宋_GB2312" w:hAnsi="仿宋" w:eastAsia="仿宋_GB2312" w:cs="Times New Roman"/>
                <w:b/>
                <w:bCs/>
                <w:sz w:val="28"/>
                <w:szCs w:val="28"/>
              </w:rPr>
              <w:t>【马城镇基础设施建设类项目】</w:t>
            </w:r>
          </w:p>
          <w:p w14:paraId="7143D864">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bCs/>
                <w:sz w:val="28"/>
                <w:szCs w:val="28"/>
              </w:rPr>
              <w:t>主镇区基础设施建设项目。</w:t>
            </w:r>
            <w:r>
              <w:rPr>
                <w:rFonts w:hint="eastAsia" w:ascii="仿宋_GB2312" w:hAnsi="仿宋" w:eastAsia="仿宋_GB2312" w:cs="Times New Roman"/>
                <w:bCs/>
                <w:sz w:val="28"/>
                <w:szCs w:val="28"/>
              </w:rPr>
              <w:t>建设</w:t>
            </w:r>
            <w:r>
              <w:rPr>
                <w:rFonts w:hint="eastAsia" w:ascii="仿宋_GB2312" w:hAnsi="仿宋" w:eastAsia="仿宋_GB2312" w:cs="Times New Roman"/>
                <w:sz w:val="28"/>
                <w:szCs w:val="28"/>
              </w:rPr>
              <w:t>马城镇镇区道路、污水、雨水、供电等基础设施，道路总长度约9千米，占地约27.75万平方米。</w:t>
            </w:r>
          </w:p>
          <w:p w14:paraId="2767B95D">
            <w:pPr>
              <w:adjustRightInd w:val="0"/>
              <w:snapToGrid w:val="0"/>
              <w:spacing w:line="480" w:lineRule="exact"/>
              <w:ind w:firstLine="562" w:firstLineChars="200"/>
              <w:rPr>
                <w:rFonts w:ascii="仿宋_GB2312" w:hAnsi="仿宋" w:eastAsia="仿宋_GB2312" w:cs="Times New Roman"/>
                <w:b/>
                <w:bCs/>
                <w:sz w:val="28"/>
                <w:szCs w:val="28"/>
              </w:rPr>
            </w:pPr>
            <w:r>
              <w:rPr>
                <w:rFonts w:hint="eastAsia" w:ascii="仿宋_GB2312" w:hAnsi="仿宋" w:eastAsia="仿宋_GB2312" w:cs="Times New Roman"/>
                <w:b/>
                <w:sz w:val="28"/>
                <w:szCs w:val="28"/>
              </w:rPr>
              <w:t>中宏码头建设项目。</w:t>
            </w:r>
            <w:r>
              <w:rPr>
                <w:rFonts w:hint="eastAsia" w:ascii="仿宋_GB2312" w:hAnsi="仿宋" w:eastAsia="仿宋_GB2312" w:cs="Times New Roman"/>
                <w:sz w:val="28"/>
                <w:szCs w:val="28"/>
              </w:rPr>
              <w:t>建设12个500吨级泊位（水工结构兼顾1000吨级），主要承担马城新区矿建材料、成品管桩的仓储、物流等功能，设计年吞吐量为160万吨。</w:t>
            </w:r>
          </w:p>
        </w:tc>
      </w:tr>
    </w:tbl>
    <w:p w14:paraId="2FC72D57">
      <w:pPr>
        <w:adjustRightInd w:val="0"/>
        <w:snapToGrid w:val="0"/>
        <w:spacing w:line="560" w:lineRule="exact"/>
        <w:ind w:firstLine="640" w:firstLineChars="200"/>
        <w:jc w:val="center"/>
        <w:outlineLvl w:val="0"/>
        <w:rPr>
          <w:rFonts w:ascii="黑体" w:hAnsi="黑体" w:eastAsia="黑体" w:cs="黑体"/>
          <w:bCs/>
          <w:sz w:val="32"/>
          <w:szCs w:val="32"/>
        </w:rPr>
      </w:pPr>
      <w:bookmarkStart w:id="77" w:name="_Toc58081149"/>
      <w:bookmarkStart w:id="78" w:name="_Toc6375"/>
      <w:bookmarkStart w:id="79" w:name="_Toc425695606"/>
      <w:bookmarkStart w:id="80" w:name="_Toc30439"/>
    </w:p>
    <w:p w14:paraId="738BA332">
      <w:pPr>
        <w:widowControl/>
        <w:jc w:val="left"/>
        <w:rPr>
          <w:rFonts w:ascii="黑体" w:hAnsi="黑体" w:eastAsia="黑体" w:cs="黑体"/>
          <w:bCs/>
          <w:sz w:val="32"/>
          <w:szCs w:val="32"/>
        </w:rPr>
      </w:pPr>
      <w:r>
        <w:rPr>
          <w:rFonts w:ascii="黑体" w:hAnsi="黑体" w:eastAsia="黑体" w:cs="黑体"/>
          <w:bCs/>
          <w:sz w:val="32"/>
          <w:szCs w:val="32"/>
        </w:rPr>
        <w:br w:type="page"/>
      </w:r>
    </w:p>
    <w:p w14:paraId="402BDCF7">
      <w:pPr>
        <w:adjustRightInd w:val="0"/>
        <w:snapToGrid w:val="0"/>
        <w:spacing w:line="560" w:lineRule="exact"/>
        <w:ind w:firstLine="640" w:firstLineChars="200"/>
        <w:jc w:val="center"/>
        <w:outlineLvl w:val="0"/>
        <w:rPr>
          <w:rFonts w:ascii="楷体" w:hAnsi="楷体" w:eastAsia="楷体" w:cs="华文仿宋"/>
          <w:bCs/>
          <w:sz w:val="32"/>
          <w:szCs w:val="32"/>
        </w:rPr>
      </w:pPr>
      <w:bookmarkStart w:id="81" w:name="_Toc60900796"/>
      <w:r>
        <w:rPr>
          <w:rFonts w:hint="eastAsia" w:ascii="黑体" w:hAnsi="黑体" w:eastAsia="黑体" w:cs="黑体"/>
          <w:bCs/>
          <w:sz w:val="32"/>
          <w:szCs w:val="32"/>
        </w:rPr>
        <w:t xml:space="preserve">第五章  </w:t>
      </w:r>
      <w:bookmarkEnd w:id="77"/>
      <w:bookmarkEnd w:id="78"/>
      <w:r>
        <w:rPr>
          <w:rFonts w:hint="eastAsia" w:ascii="黑体" w:hAnsi="黑体" w:eastAsia="黑体" w:cs="黑体"/>
          <w:bCs/>
          <w:sz w:val="32"/>
          <w:szCs w:val="32"/>
        </w:rPr>
        <w:t>规划引领，倾力打造城市更新示范区</w:t>
      </w:r>
      <w:bookmarkEnd w:id="81"/>
    </w:p>
    <w:p w14:paraId="3E0DE6BE">
      <w:pPr>
        <w:autoSpaceDE w:val="0"/>
        <w:autoSpaceDN w:val="0"/>
        <w:adjustRightInd w:val="0"/>
        <w:snapToGrid w:val="0"/>
        <w:spacing w:line="560" w:lineRule="exact"/>
        <w:ind w:firstLine="640" w:firstLineChars="200"/>
        <w:jc w:val="left"/>
        <w:outlineLvl w:val="1"/>
        <w:rPr>
          <w:rFonts w:ascii="仿宋_GB2312" w:hAnsi="楷体" w:eastAsia="仿宋_GB2312" w:cs="楷体"/>
          <w:bCs/>
          <w:kern w:val="0"/>
          <w:sz w:val="32"/>
          <w:szCs w:val="32"/>
        </w:rPr>
      </w:pPr>
      <w:bookmarkStart w:id="82" w:name="_Toc59301470"/>
      <w:bookmarkStart w:id="83" w:name="_Toc60900797"/>
      <w:bookmarkStart w:id="84" w:name="_Toc58938524"/>
      <w:bookmarkStart w:id="85" w:name="_Toc1523"/>
      <w:bookmarkStart w:id="86" w:name="_Toc14450"/>
      <w:bookmarkStart w:id="87" w:name="_Toc15740"/>
      <w:bookmarkStart w:id="88" w:name="_Toc59952111"/>
      <w:bookmarkStart w:id="89" w:name="_Toc11657"/>
      <w:bookmarkStart w:id="90" w:name="_Toc58081150"/>
      <w:r>
        <w:rPr>
          <w:rFonts w:hint="eastAsia" w:ascii="仿宋_GB2312" w:hAnsi="楷体" w:eastAsia="仿宋_GB2312" w:cs="楷体"/>
          <w:bCs/>
          <w:kern w:val="0"/>
          <w:sz w:val="32"/>
          <w:szCs w:val="32"/>
        </w:rPr>
        <w:t>坚持系统观念，全域统筹，开放引领，大力优化城区空间布局，坚决扛起老工业区改造更新的历史重任，加快蚌埠西部城区现代化中心区域建设，补齐民生短板，提升发展新能级，回应群众期盼。</w:t>
      </w:r>
      <w:bookmarkEnd w:id="82"/>
      <w:bookmarkEnd w:id="83"/>
      <w:bookmarkEnd w:id="84"/>
      <w:bookmarkEnd w:id="85"/>
      <w:bookmarkEnd w:id="86"/>
      <w:bookmarkEnd w:id="87"/>
      <w:bookmarkEnd w:id="88"/>
    </w:p>
    <w:p w14:paraId="48B810E3">
      <w:pPr>
        <w:autoSpaceDE w:val="0"/>
        <w:autoSpaceDN w:val="0"/>
        <w:adjustRightInd w:val="0"/>
        <w:snapToGrid w:val="0"/>
        <w:spacing w:line="560" w:lineRule="exact"/>
        <w:jc w:val="center"/>
        <w:outlineLvl w:val="1"/>
        <w:rPr>
          <w:rFonts w:ascii="楷体" w:hAnsi="楷体" w:eastAsia="楷体" w:cs="楷体"/>
          <w:b/>
          <w:bCs/>
          <w:kern w:val="0"/>
          <w:sz w:val="32"/>
          <w:szCs w:val="32"/>
        </w:rPr>
      </w:pPr>
    </w:p>
    <w:p w14:paraId="640C2019">
      <w:pPr>
        <w:autoSpaceDE w:val="0"/>
        <w:autoSpaceDN w:val="0"/>
        <w:adjustRightInd w:val="0"/>
        <w:snapToGrid w:val="0"/>
        <w:spacing w:line="560" w:lineRule="exact"/>
        <w:jc w:val="center"/>
        <w:outlineLvl w:val="1"/>
        <w:rPr>
          <w:rFonts w:ascii="楷体" w:hAnsi="楷体" w:eastAsia="楷体" w:cs="楷体"/>
          <w:b/>
          <w:bCs/>
          <w:kern w:val="0"/>
          <w:sz w:val="32"/>
          <w:szCs w:val="32"/>
        </w:rPr>
      </w:pPr>
      <w:bookmarkStart w:id="91" w:name="_Toc60900798"/>
      <w:r>
        <w:rPr>
          <w:rFonts w:hint="eastAsia" w:ascii="楷体" w:hAnsi="楷体" w:eastAsia="楷体" w:cs="楷体"/>
          <w:b/>
          <w:bCs/>
          <w:kern w:val="0"/>
          <w:sz w:val="32"/>
          <w:szCs w:val="32"/>
        </w:rPr>
        <w:t>第一节  推动老城区综合开发</w:t>
      </w:r>
      <w:bookmarkEnd w:id="91"/>
    </w:p>
    <w:p w14:paraId="4AC3DA2E">
      <w:pPr>
        <w:autoSpaceDE w:val="0"/>
        <w:autoSpaceDN w:val="0"/>
        <w:adjustRightInd w:val="0"/>
        <w:snapToGrid w:val="0"/>
        <w:spacing w:line="560" w:lineRule="exact"/>
        <w:ind w:firstLine="640" w:firstLineChars="200"/>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蚌埠将大力实施“东接、西融、南拓、北延、中提”战略，打破行政壁垒，高标准建设自贸区蚌埠片区，高质量开发退市进园旧址，高水平发掘山水人文禀赋，推动高新、禹会、怀远环天河、沿淮河区域融合发展，打造居游相宜、业态高端的最美“荆涂淮河湾”。为此</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我们要</w:t>
      </w:r>
      <w:r>
        <w:rPr>
          <w:rFonts w:hint="eastAsia" w:ascii="仿宋_GB2312" w:hAnsi="仿宋" w:eastAsia="仿宋_GB2312" w:cs="宋体"/>
          <w:color w:val="000000"/>
          <w:kern w:val="0"/>
          <w:sz w:val="32"/>
          <w:szCs w:val="32"/>
        </w:rPr>
        <w:t>抢抓国家推动老工业基地搬迁改造、自贸区建设机遇，在全市新发展格局中，一体化推动城市更新及产业转型升级。坚持规划引领，科学有序推进主城区10平方公里区域综合开发，有序推进占地面积约466亩的华光玻璃厂、691亩的丰原集团、2200亩中粮科技和812亩的高速出入口区域4个集中连片开发项目的实施，打造蚌埠未来新的城市中心。坚持“房子是用来住的，不是用来炒的”定位，大力推进安置房建设，全力改善群众居住条件。加快城区基础设施建设，提升涂山路、大庆二路等主次干道建设水平，提升城市通达条件。完善城市配套服务功能，打造成集科技研发、商务办公、创业孵化、医疗教育等设施完善</w:t>
      </w:r>
      <w:r>
        <w:rPr>
          <w:rFonts w:hint="eastAsia" w:ascii="仿宋_GB2312" w:hAnsi="仿宋" w:eastAsia="仿宋_GB2312" w:cs="宋体"/>
          <w:kern w:val="0"/>
          <w:sz w:val="32"/>
          <w:szCs w:val="32"/>
        </w:rPr>
        <w:t>、</w:t>
      </w:r>
      <w:r>
        <w:rPr>
          <w:rFonts w:hint="eastAsia" w:ascii="仿宋_GB2312" w:hAnsi="仿宋" w:eastAsia="仿宋_GB2312" w:cs="宋体"/>
          <w:color w:val="000000"/>
          <w:kern w:val="0"/>
          <w:sz w:val="32"/>
          <w:szCs w:val="32"/>
        </w:rPr>
        <w:t>保留城市记忆的蚌埠“两个中心”建设的先锋区。</w:t>
      </w:r>
      <w:bookmarkEnd w:id="89"/>
      <w:bookmarkEnd w:id="90"/>
    </w:p>
    <w:tbl>
      <w:tblPr>
        <w:tblStyle w:val="15"/>
        <w:tblpPr w:leftFromText="180" w:rightFromText="180" w:vertAnchor="text" w:horzAnchor="page" w:tblpX="2033" w:tblpY="5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5"/>
      </w:tblGrid>
      <w:tr w14:paraId="2AD6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5" w:type="dxa"/>
          </w:tcPr>
          <w:p w14:paraId="5B9168DC">
            <w:pPr>
              <w:adjustRightInd w:val="0"/>
              <w:snapToGrid w:val="0"/>
              <w:spacing w:line="480" w:lineRule="exact"/>
              <w:ind w:firstLine="560" w:firstLineChars="200"/>
              <w:jc w:val="center"/>
              <w:rPr>
                <w:rFonts w:ascii="黑体" w:hAnsi="黑体" w:eastAsia="黑体" w:cs="黑体"/>
                <w:sz w:val="28"/>
                <w:szCs w:val="28"/>
              </w:rPr>
            </w:pPr>
            <w:r>
              <w:rPr>
                <w:rFonts w:hint="eastAsia" w:ascii="黑体" w:hAnsi="黑体" w:eastAsia="黑体" w:cs="黑体"/>
                <w:sz w:val="28"/>
                <w:szCs w:val="28"/>
              </w:rPr>
              <w:t>专栏7：城市开发项目</w:t>
            </w:r>
          </w:p>
          <w:p w14:paraId="1F2DE9FF">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五星级酒店及商业综合体项目。</w:t>
            </w:r>
            <w:r>
              <w:rPr>
                <w:rFonts w:hint="eastAsia" w:ascii="仿宋_GB2312" w:hAnsi="仿宋" w:eastAsia="仿宋_GB2312" w:cs="Times New Roman"/>
                <w:sz w:val="28"/>
                <w:szCs w:val="28"/>
              </w:rPr>
              <w:t>总建筑面积约为40.6万平方米，建设集酒店、会务、休闲娱乐、养生、办公、商务等于一体的大型综合体项目。</w:t>
            </w:r>
          </w:p>
          <w:p w14:paraId="780162C0">
            <w:pPr>
              <w:adjustRightInd w:val="0"/>
              <w:snapToGrid w:val="0"/>
              <w:spacing w:line="480" w:lineRule="exact"/>
              <w:ind w:firstLine="562" w:firstLineChars="200"/>
              <w:rPr>
                <w:rFonts w:ascii="仿宋_GB2312" w:hAnsi="仿宋" w:eastAsia="仿宋_GB2312" w:cs="仿宋"/>
                <w:bCs/>
                <w:sz w:val="28"/>
                <w:szCs w:val="28"/>
              </w:rPr>
            </w:pPr>
            <w:r>
              <w:rPr>
                <w:rFonts w:hint="eastAsia" w:ascii="仿宋_GB2312" w:hAnsi="仿宋" w:eastAsia="仿宋_GB2312" w:cs="仿宋"/>
                <w:b/>
                <w:bCs/>
                <w:sz w:val="28"/>
                <w:szCs w:val="28"/>
              </w:rPr>
              <w:t>中粮科技、丰原集团地块综合开发项目。</w:t>
            </w:r>
            <w:r>
              <w:rPr>
                <w:rFonts w:hint="eastAsia" w:ascii="仿宋_GB2312" w:hAnsi="仿宋" w:eastAsia="仿宋_GB2312" w:cs="仿宋"/>
                <w:bCs/>
                <w:sz w:val="28"/>
                <w:szCs w:val="28"/>
              </w:rPr>
              <w:t>占地面积约2891亩，建设总部经济、科技研发、高端教育、优质医疗为一体的产城融合中心。</w:t>
            </w:r>
          </w:p>
          <w:p w14:paraId="56F6980D">
            <w:pPr>
              <w:adjustRightInd w:val="0"/>
              <w:snapToGrid w:val="0"/>
              <w:spacing w:line="480" w:lineRule="exact"/>
              <w:ind w:firstLine="562" w:firstLineChars="200"/>
              <w:rPr>
                <w:rFonts w:ascii="仿宋_GB2312" w:hAnsi="仿宋" w:eastAsia="仿宋_GB2312" w:cs="仿宋"/>
                <w:bCs/>
                <w:sz w:val="28"/>
                <w:szCs w:val="28"/>
              </w:rPr>
            </w:pPr>
            <w:r>
              <w:rPr>
                <w:rFonts w:hint="eastAsia" w:ascii="仿宋_GB2312" w:hAnsi="仿宋" w:eastAsia="仿宋_GB2312" w:cs="仿宋"/>
                <w:b/>
                <w:bCs/>
                <w:sz w:val="28"/>
                <w:szCs w:val="28"/>
              </w:rPr>
              <w:t>高速出入口商业综合体项目</w:t>
            </w:r>
            <w:r>
              <w:rPr>
                <w:rFonts w:hint="eastAsia" w:ascii="仿宋_GB2312" w:hAnsi="仿宋" w:eastAsia="仿宋_GB2312" w:cs="仿宋"/>
                <w:bCs/>
                <w:sz w:val="28"/>
                <w:szCs w:val="28"/>
              </w:rPr>
              <w:t>。占地812亩，建设住宅及商业配套。</w:t>
            </w:r>
          </w:p>
          <w:p w14:paraId="0225ED09">
            <w:pPr>
              <w:adjustRightInd w:val="0"/>
              <w:snapToGrid w:val="0"/>
              <w:spacing w:line="480" w:lineRule="exact"/>
              <w:ind w:firstLine="562" w:firstLineChars="200"/>
              <w:rPr>
                <w:rFonts w:ascii="仿宋_GB2312" w:hAnsi="仿宋" w:eastAsia="仿宋_GB2312" w:cs="仿宋"/>
                <w:bCs/>
                <w:sz w:val="28"/>
                <w:szCs w:val="28"/>
              </w:rPr>
            </w:pPr>
            <w:r>
              <w:rPr>
                <w:rFonts w:hint="eastAsia" w:ascii="仿宋_GB2312" w:hAnsi="仿宋" w:eastAsia="仿宋_GB2312" w:cs="仿宋"/>
                <w:b/>
                <w:bCs/>
                <w:sz w:val="28"/>
                <w:szCs w:val="28"/>
              </w:rPr>
              <w:t>华光玻璃厂商业综合体项目。</w:t>
            </w:r>
            <w:r>
              <w:rPr>
                <w:rFonts w:hint="eastAsia" w:ascii="仿宋_GB2312" w:hAnsi="仿宋" w:eastAsia="仿宋_GB2312" w:cs="仿宋"/>
                <w:bCs/>
                <w:sz w:val="28"/>
                <w:szCs w:val="28"/>
              </w:rPr>
              <w:t>总占地466亩，建设商业综合体，配套学校，改善西部城区居民生活条件。</w:t>
            </w:r>
          </w:p>
          <w:p w14:paraId="65903256">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皖北妇女儿童医院项目。</w:t>
            </w:r>
            <w:r>
              <w:rPr>
                <w:rFonts w:hint="eastAsia" w:ascii="仿宋_GB2312" w:hAnsi="仿宋" w:eastAsia="仿宋_GB2312" w:cs="Times New Roman"/>
                <w:sz w:val="28"/>
                <w:szCs w:val="28"/>
              </w:rPr>
              <w:t>占地面积约200亩，建筑面积12万平方米，设置床位1000张。其中儿科550张，妇产科450张，建成皖北地区一流的三级甲等专科医院。</w:t>
            </w:r>
          </w:p>
          <w:p w14:paraId="30D8F498">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蚌埠市供水保障及调度中心项目。</w:t>
            </w:r>
            <w:r>
              <w:rPr>
                <w:rFonts w:hint="eastAsia" w:ascii="仿宋_GB2312" w:hAnsi="仿宋" w:eastAsia="仿宋_GB2312" w:cs="Times New Roman"/>
                <w:sz w:val="28"/>
                <w:szCs w:val="28"/>
              </w:rPr>
              <w:t>建筑面积约1.2万平方米，供水保障中心综合楼（含供水调度中心、水质检测中心）、供水抢修中心、水表检测中心等。</w:t>
            </w:r>
          </w:p>
          <w:p w14:paraId="5888D9B5">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建成总投资98亿元的弘禹家园、禹淮新苑等15个安置房项目，总面积248万平方米约1.5万套安置房，提升居民生活品质</w:t>
            </w:r>
            <w:r>
              <w:rPr>
                <w:rFonts w:hint="eastAsia" w:ascii="仿宋_GB2312" w:hAnsi="仿宋" w:eastAsia="仿宋_GB2312" w:cs="Times New Roman"/>
                <w:sz w:val="28"/>
                <w:szCs w:val="28"/>
              </w:rPr>
              <w:t>。</w:t>
            </w:r>
          </w:p>
        </w:tc>
      </w:tr>
    </w:tbl>
    <w:p w14:paraId="63D5F629">
      <w:pPr>
        <w:autoSpaceDE w:val="0"/>
        <w:autoSpaceDN w:val="0"/>
        <w:adjustRightInd w:val="0"/>
        <w:snapToGrid w:val="0"/>
        <w:spacing w:line="560" w:lineRule="exact"/>
        <w:ind w:firstLine="643" w:firstLineChars="200"/>
        <w:rPr>
          <w:rFonts w:ascii="仿宋_GB2312" w:hAnsi="楷体" w:eastAsia="仿宋_GB2312" w:cs="仿宋"/>
          <w:b/>
          <w:bCs/>
          <w:kern w:val="0"/>
          <w:sz w:val="32"/>
          <w:szCs w:val="32"/>
        </w:rPr>
      </w:pPr>
    </w:p>
    <w:p w14:paraId="099A0CBC">
      <w:pPr>
        <w:adjustRightInd w:val="0"/>
        <w:snapToGrid w:val="0"/>
        <w:spacing w:line="560" w:lineRule="exact"/>
        <w:jc w:val="center"/>
        <w:outlineLvl w:val="1"/>
        <w:rPr>
          <w:rFonts w:ascii="仿宋_GB2312" w:hAnsi="仿宋" w:eastAsia="仿宋_GB2312" w:cs="仿宋"/>
          <w:b/>
          <w:bCs/>
          <w:kern w:val="0"/>
          <w:sz w:val="32"/>
          <w:szCs w:val="32"/>
        </w:rPr>
      </w:pPr>
      <w:bookmarkStart w:id="92" w:name="_Toc60900799"/>
      <w:bookmarkStart w:id="93" w:name="_Toc58081151"/>
      <w:bookmarkStart w:id="94" w:name="_Toc29605"/>
      <w:r>
        <w:rPr>
          <w:rFonts w:hint="eastAsia" w:ascii="楷体" w:hAnsi="楷体" w:eastAsia="楷体" w:cs="楷体"/>
          <w:b/>
          <w:bCs/>
          <w:kern w:val="0"/>
          <w:sz w:val="32"/>
          <w:szCs w:val="32"/>
        </w:rPr>
        <w:t>第二节  加快总部经济建设</w:t>
      </w:r>
      <w:bookmarkEnd w:id="92"/>
    </w:p>
    <w:p w14:paraId="59DDBB3C">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充分利用自贸区政策优势，以中粮大道-涂山路-东海大道为轴线，积极推动佳先股份、丰原集团等退市进园企业总部研发基地建设；着眼世界500强、国内500强、央企、上市公司等行业龙头企业，坚持招大引强，促进项目落地，支持赤湾东方华东新干线总部项目做大做强，继续深入对接中国南山（开发）集团、安徽水安公司等企业，争取一批招商引资企业总部基地项目尽快落户我区；加快港航集团总部大楼、水投集团总部等项目建设，打造总部经济带，进一步提升我区航运和产业优势；推动钓鱼台、朝阳、纬四形成较好的商务氛围及生活配套，活跃经济，方便群众；持续助推金划算、绿色数字等平台经济项目发展壮大。</w:t>
      </w:r>
      <w:bookmarkEnd w:id="93"/>
      <w:bookmarkEnd w:id="94"/>
    </w:p>
    <w:p w14:paraId="2DBD2731">
      <w:pPr>
        <w:adjustRightInd w:val="0"/>
        <w:snapToGrid w:val="0"/>
        <w:spacing w:line="560" w:lineRule="exact"/>
        <w:ind w:firstLine="643" w:firstLineChars="200"/>
        <w:rPr>
          <w:rFonts w:ascii="仿宋_GB2312" w:hAnsi="仿宋" w:eastAsia="仿宋_GB2312" w:cs="仿宋"/>
          <w:b/>
          <w:bCs/>
          <w:kern w:val="0"/>
          <w:sz w:val="32"/>
          <w:szCs w:val="32"/>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5"/>
      </w:tblGrid>
      <w:tr w14:paraId="5298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5" w:type="dxa"/>
          </w:tcPr>
          <w:p w14:paraId="13244E27">
            <w:pPr>
              <w:adjustRightInd w:val="0"/>
              <w:snapToGrid w:val="0"/>
              <w:spacing w:line="480" w:lineRule="exact"/>
              <w:jc w:val="center"/>
              <w:rPr>
                <w:rFonts w:ascii="黑体" w:hAnsi="黑体" w:eastAsia="黑体" w:cs="Times New Roman"/>
                <w:sz w:val="28"/>
                <w:szCs w:val="28"/>
              </w:rPr>
            </w:pPr>
            <w:r>
              <w:rPr>
                <w:rFonts w:hint="eastAsia" w:ascii="黑体" w:hAnsi="黑体" w:eastAsia="黑体" w:cs="Times New Roman"/>
                <w:sz w:val="28"/>
                <w:szCs w:val="28"/>
              </w:rPr>
              <w:t>专栏8：总部经济项目</w:t>
            </w:r>
          </w:p>
          <w:p w14:paraId="3E293A0D">
            <w:pPr>
              <w:adjustRightInd w:val="0"/>
              <w:snapToGrid w:val="0"/>
              <w:spacing w:line="480" w:lineRule="exact"/>
              <w:ind w:firstLine="562" w:firstLineChars="200"/>
              <w:rPr>
                <w:rFonts w:ascii="仿宋_GB2312" w:hAnsi="仿宋" w:eastAsia="仿宋_GB2312" w:cs="Times New Roman"/>
                <w:bCs/>
                <w:sz w:val="28"/>
                <w:szCs w:val="28"/>
              </w:rPr>
            </w:pPr>
            <w:r>
              <w:rPr>
                <w:rFonts w:hint="eastAsia" w:ascii="仿宋_GB2312" w:hAnsi="仿宋" w:eastAsia="仿宋_GB2312" w:cs="Times New Roman"/>
                <w:b/>
                <w:sz w:val="28"/>
                <w:szCs w:val="28"/>
              </w:rPr>
              <w:t>自贸区总部项目。</w:t>
            </w:r>
            <w:r>
              <w:rPr>
                <w:rFonts w:hint="eastAsia" w:ascii="仿宋_GB2312" w:hAnsi="仿宋" w:eastAsia="仿宋_GB2312" w:cs="Times New Roman"/>
                <w:bCs/>
                <w:sz w:val="28"/>
                <w:szCs w:val="28"/>
              </w:rPr>
              <w:t>投资8亿元，建设承接长三角企业总部搬迁的商务办公大楼。</w:t>
            </w:r>
          </w:p>
          <w:p w14:paraId="0BBBF78A">
            <w:pPr>
              <w:adjustRightInd w:val="0"/>
              <w:snapToGrid w:val="0"/>
              <w:spacing w:line="480" w:lineRule="exact"/>
              <w:ind w:firstLine="562" w:firstLineChars="200"/>
              <w:rPr>
                <w:rFonts w:ascii="仿宋_GB2312" w:hAnsi="仿宋" w:eastAsia="仿宋_GB2312" w:cs="Times New Roman"/>
                <w:bCs/>
                <w:sz w:val="28"/>
                <w:szCs w:val="28"/>
              </w:rPr>
            </w:pPr>
            <w:r>
              <w:rPr>
                <w:rFonts w:hint="eastAsia" w:ascii="仿宋_GB2312" w:hAnsi="仿宋" w:eastAsia="仿宋_GB2312" w:cs="Times New Roman"/>
                <w:b/>
                <w:bCs/>
                <w:sz w:val="28"/>
                <w:szCs w:val="28"/>
              </w:rPr>
              <w:t>佳先股份总部项目。</w:t>
            </w:r>
            <w:r>
              <w:rPr>
                <w:rFonts w:hint="eastAsia" w:ascii="仿宋_GB2312" w:hAnsi="仿宋" w:eastAsia="仿宋_GB2312" w:cs="Times New Roman"/>
                <w:bCs/>
                <w:sz w:val="28"/>
                <w:szCs w:val="28"/>
              </w:rPr>
              <w:t>总投资1亿元，建设佳先股份总部大楼及相关配套基础设施。</w:t>
            </w:r>
          </w:p>
          <w:p w14:paraId="23D0E750">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港投集团总部项目。</w:t>
            </w:r>
            <w:r>
              <w:rPr>
                <w:rFonts w:hint="eastAsia" w:ascii="仿宋_GB2312" w:hAnsi="仿宋" w:eastAsia="仿宋_GB2312" w:cs="Times New Roman"/>
                <w:sz w:val="28"/>
                <w:szCs w:val="28"/>
              </w:rPr>
              <w:t>总投资3亿元，建设港投集团总部大楼及相关配套基础设施。</w:t>
            </w:r>
          </w:p>
          <w:p w14:paraId="4A1AC766">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退市进园企业总部基地项目。</w:t>
            </w:r>
            <w:r>
              <w:rPr>
                <w:rFonts w:hint="eastAsia" w:ascii="仿宋_GB2312" w:hAnsi="仿宋" w:eastAsia="仿宋_GB2312" w:cs="Times New Roman"/>
                <w:sz w:val="28"/>
                <w:szCs w:val="28"/>
              </w:rPr>
              <w:t>投资5.5亿元，结合五大化工企业退市进园，建设化工企业办公、结算中心等。</w:t>
            </w:r>
          </w:p>
          <w:p w14:paraId="48320012">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水投集团总部项目。</w:t>
            </w:r>
            <w:r>
              <w:rPr>
                <w:rFonts w:hint="eastAsia" w:ascii="仿宋_GB2312" w:hAnsi="仿宋" w:eastAsia="仿宋_GB2312" w:cs="Times New Roman"/>
                <w:sz w:val="28"/>
                <w:szCs w:val="28"/>
              </w:rPr>
              <w:t>总投资3亿元，建设水投集团总部大楼及相关配套基础设施，服务经济发展。</w:t>
            </w:r>
          </w:p>
          <w:p w14:paraId="3BA090A5">
            <w:pPr>
              <w:adjustRightInd w:val="0"/>
              <w:snapToGrid w:val="0"/>
              <w:spacing w:line="480" w:lineRule="exact"/>
              <w:ind w:firstLine="560" w:firstLineChars="200"/>
              <w:rPr>
                <w:rFonts w:ascii="仿宋_GB2312" w:hAnsi="仿宋" w:eastAsia="仿宋_GB2312" w:cs="Times New Roman"/>
                <w:sz w:val="28"/>
                <w:szCs w:val="28"/>
              </w:rPr>
            </w:pPr>
          </w:p>
        </w:tc>
      </w:tr>
    </w:tbl>
    <w:p w14:paraId="32A7FA51">
      <w:pPr>
        <w:spacing w:line="560" w:lineRule="exact"/>
        <w:rPr>
          <w:rFonts w:ascii="仿宋_GB2312" w:hAnsi="仿宋" w:eastAsia="仿宋_GB2312" w:cs="仿宋_GB2312"/>
          <w:sz w:val="32"/>
          <w:szCs w:val="32"/>
        </w:rPr>
      </w:pPr>
    </w:p>
    <w:p w14:paraId="637C5355">
      <w:pPr>
        <w:adjustRightInd w:val="0"/>
        <w:snapToGrid w:val="0"/>
        <w:spacing w:line="560" w:lineRule="exact"/>
        <w:jc w:val="center"/>
        <w:outlineLvl w:val="1"/>
        <w:rPr>
          <w:rFonts w:ascii="楷体" w:hAnsi="楷体" w:eastAsia="楷体" w:cs="楷体"/>
          <w:b/>
          <w:sz w:val="32"/>
          <w:szCs w:val="32"/>
        </w:rPr>
      </w:pPr>
      <w:bookmarkStart w:id="95" w:name="_Toc60900800"/>
      <w:bookmarkStart w:id="96" w:name="_Toc58081148"/>
      <w:r>
        <w:rPr>
          <w:rFonts w:hint="eastAsia" w:ascii="楷体" w:hAnsi="楷体" w:eastAsia="楷体" w:cs="楷体"/>
          <w:b/>
          <w:sz w:val="32"/>
          <w:szCs w:val="32"/>
        </w:rPr>
        <w:t>第三节  打造淮河航运中心</w:t>
      </w:r>
      <w:bookmarkEnd w:id="95"/>
    </w:p>
    <w:p w14:paraId="1FEF9AD4">
      <w:pPr>
        <w:adjustRightInd w:val="0"/>
        <w:snapToGrid w:val="0"/>
        <w:spacing w:line="560" w:lineRule="exact"/>
        <w:ind w:firstLine="640" w:firstLineChars="200"/>
        <w:rPr>
          <w:rFonts w:ascii="仿宋_GB2312" w:hAnsi="仿宋" w:eastAsia="仿宋_GB2312" w:cs="仿宋_GB2312"/>
          <w:b/>
          <w:bCs/>
          <w:color w:val="FF0000"/>
          <w:sz w:val="32"/>
          <w:szCs w:val="32"/>
        </w:rPr>
      </w:pPr>
      <w:r>
        <w:rPr>
          <w:rFonts w:hint="eastAsia" w:ascii="仿宋_GB2312" w:hAnsi="仿宋" w:eastAsia="仿宋_GB2312" w:cs="宋体"/>
          <w:sz w:val="32"/>
          <w:szCs w:val="32"/>
        </w:rPr>
        <w:t>依托自贸区建设优势，按照“一心两轴，三点联动”的空间布局，携手淮河（安徽）港航集团，</w:t>
      </w:r>
      <w:r>
        <w:rPr>
          <w:rFonts w:hint="eastAsia" w:ascii="仿宋_GB2312" w:hAnsi="仿宋" w:eastAsia="仿宋_GB2312" w:cs="宋体"/>
          <w:color w:val="000000"/>
          <w:kern w:val="0"/>
          <w:sz w:val="32"/>
          <w:szCs w:val="32"/>
        </w:rPr>
        <w:t>实施港航物流基础提标工程，</w:t>
      </w:r>
      <w:r>
        <w:rPr>
          <w:rFonts w:hint="eastAsia" w:ascii="仿宋_GB2312" w:hAnsi="仿宋" w:eastAsia="仿宋_GB2312" w:cs="宋体"/>
          <w:kern w:val="0"/>
          <w:sz w:val="32"/>
          <w:szCs w:val="32"/>
        </w:rPr>
        <w:t>整合淮河船闸资源，匹配淮河航道升级工程，提升航道运载通航能力至万吨级。</w:t>
      </w:r>
      <w:r>
        <w:rPr>
          <w:rFonts w:hint="eastAsia" w:ascii="仿宋_GB2312" w:hAnsi="仿宋" w:eastAsia="仿宋_GB2312" w:cs="宋体"/>
          <w:sz w:val="32"/>
          <w:szCs w:val="32"/>
        </w:rPr>
        <w:t>支持蚌埠港现代物流园发展壮大，以蚌埠港国家二类水运口岸为基础，</w:t>
      </w:r>
      <w:r>
        <w:rPr>
          <w:rFonts w:hint="eastAsia" w:ascii="仿宋_GB2312" w:hAnsi="仿宋" w:eastAsia="仿宋_GB2312" w:cs="宋体"/>
          <w:kern w:val="0"/>
          <w:sz w:val="32"/>
          <w:szCs w:val="32"/>
        </w:rPr>
        <w:t>搭建蚌埠国际集装箱码头国际贸易平台，建设粮食进境、大宗商品集散中心，积极创建国家跨境电商零售进口试点及国家跨境电商综合试验区，</w:t>
      </w:r>
      <w:r>
        <w:rPr>
          <w:rFonts w:hint="eastAsia" w:ascii="仿宋_GB2312" w:hAnsi="仿宋" w:eastAsia="仿宋_GB2312" w:cs="仿宋_GB2312"/>
          <w:bCs/>
          <w:sz w:val="32"/>
          <w:szCs w:val="32"/>
        </w:rPr>
        <w:t>加速形成完善的港口支撑平台，推动“安全环保大港口”建设，</w:t>
      </w:r>
      <w:r>
        <w:rPr>
          <w:rFonts w:hint="eastAsia" w:ascii="仿宋_GB2312" w:hAnsi="仿宋" w:eastAsia="仿宋_GB2312" w:cs="宋体"/>
          <w:sz w:val="32"/>
          <w:szCs w:val="32"/>
        </w:rPr>
        <w:t>把蚌埠港建设成为立足淮河、辐射全国的贸易中心</w:t>
      </w:r>
      <w:bookmarkEnd w:id="96"/>
      <w:r>
        <w:rPr>
          <w:rFonts w:hint="eastAsia" w:ascii="仿宋_GB2312" w:hAnsi="仿宋" w:eastAsia="仿宋_GB2312" w:cs="宋体"/>
          <w:sz w:val="32"/>
          <w:szCs w:val="32"/>
        </w:rPr>
        <w:t>，打造具有重要影响力的</w:t>
      </w:r>
      <w:r>
        <w:rPr>
          <w:rFonts w:hint="eastAsia" w:ascii="仿宋_GB2312" w:hAnsi="仿宋" w:eastAsia="仿宋_GB2312" w:cs="宋体"/>
          <w:b/>
          <w:sz w:val="32"/>
          <w:szCs w:val="32"/>
        </w:rPr>
        <w:t>改革开放新高地</w:t>
      </w:r>
      <w:r>
        <w:rPr>
          <w:rFonts w:hint="eastAsia" w:ascii="仿宋_GB2312" w:hAnsi="仿宋" w:eastAsia="仿宋_GB2312" w:cs="仿宋_GB2312"/>
          <w:b/>
          <w:bCs/>
          <w:sz w:val="32"/>
          <w:szCs w:val="32"/>
        </w:rPr>
        <w:t>。</w:t>
      </w:r>
    </w:p>
    <w:tbl>
      <w:tblPr>
        <w:tblStyle w:val="15"/>
        <w:tblpPr w:leftFromText="180" w:rightFromText="180" w:vertAnchor="text" w:horzAnchor="page" w:tblpX="2033" w:tblpY="5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5"/>
      </w:tblGrid>
      <w:tr w14:paraId="1A52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5" w:type="dxa"/>
          </w:tcPr>
          <w:p w14:paraId="39B07A37">
            <w:pPr>
              <w:adjustRightInd w:val="0"/>
              <w:snapToGrid w:val="0"/>
              <w:spacing w:line="480" w:lineRule="exact"/>
              <w:ind w:firstLine="560" w:firstLineChars="200"/>
              <w:jc w:val="center"/>
              <w:rPr>
                <w:rFonts w:ascii="黑体" w:hAnsi="黑体" w:eastAsia="黑体" w:cs="黑体"/>
                <w:sz w:val="28"/>
                <w:szCs w:val="28"/>
              </w:rPr>
            </w:pPr>
            <w:r>
              <w:rPr>
                <w:rFonts w:hint="eastAsia" w:ascii="黑体" w:hAnsi="黑体" w:eastAsia="黑体" w:cs="黑体"/>
                <w:sz w:val="28"/>
                <w:szCs w:val="28"/>
              </w:rPr>
              <w:t>专栏9：贸易平台项目</w:t>
            </w:r>
          </w:p>
          <w:p w14:paraId="70B9171C">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跨境电商产业园。</w:t>
            </w:r>
            <w:r>
              <w:rPr>
                <w:rFonts w:hint="eastAsia" w:ascii="仿宋_GB2312" w:hAnsi="仿宋" w:eastAsia="仿宋_GB2312" w:cs="Times New Roman"/>
                <w:sz w:val="28"/>
                <w:szCs w:val="28"/>
              </w:rPr>
              <w:t>建设集产品资源、平台对接、办公、仓储配套、物流配送、人才输送、公共服务为一体的电子商务全产业链综合服务园区。</w:t>
            </w:r>
          </w:p>
          <w:p w14:paraId="7951F4C2">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bCs/>
                <w:sz w:val="28"/>
                <w:szCs w:val="28"/>
              </w:rPr>
              <w:t>进出口商品展示中心。</w:t>
            </w:r>
            <w:r>
              <w:rPr>
                <w:rFonts w:hint="eastAsia" w:ascii="仿宋_GB2312" w:hAnsi="仿宋" w:eastAsia="仿宋_GB2312" w:cs="Times New Roman"/>
                <w:sz w:val="28"/>
                <w:szCs w:val="28"/>
              </w:rPr>
              <w:t>打造以进出口商品展销功能为带动，涵盖市民消费体验、餐饮娱乐、商务办公、旅游等丰富业态的跨境类及非跨境类商业商贸的商业综合体。</w:t>
            </w:r>
          </w:p>
          <w:p w14:paraId="7A4917EF">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bCs/>
                <w:sz w:val="28"/>
                <w:szCs w:val="28"/>
              </w:rPr>
              <w:t>进出口粮食交易中心项目。</w:t>
            </w:r>
            <w:r>
              <w:rPr>
                <w:rFonts w:hint="eastAsia" w:ascii="仿宋_GB2312" w:hAnsi="仿宋" w:eastAsia="仿宋_GB2312" w:cs="Times New Roman"/>
                <w:sz w:val="28"/>
                <w:szCs w:val="28"/>
              </w:rPr>
              <w:t>聚集粮食贸易企业，建设交易中心大楼，为经营进出口粮食、农副产品的企业提供交易、结算和信息交易等服务功能。</w:t>
            </w:r>
          </w:p>
          <w:p w14:paraId="2435051F">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bCs/>
                <w:sz w:val="28"/>
                <w:szCs w:val="28"/>
              </w:rPr>
              <w:t>淮河港航科技信息保障中心。</w:t>
            </w:r>
            <w:r>
              <w:rPr>
                <w:rFonts w:hint="eastAsia" w:ascii="仿宋_GB2312" w:hAnsi="仿宋" w:eastAsia="仿宋_GB2312" w:cs="Times New Roman"/>
                <w:sz w:val="28"/>
                <w:szCs w:val="28"/>
              </w:rPr>
              <w:t>建设综合办公楼、网络信息平台，开展船员培训、船舶维修、调度指挥等业务。</w:t>
            </w:r>
          </w:p>
          <w:p w14:paraId="06AAAC01">
            <w:pPr>
              <w:adjustRightInd w:val="0"/>
              <w:snapToGrid w:val="0"/>
              <w:spacing w:line="480" w:lineRule="exact"/>
              <w:ind w:firstLine="560" w:firstLineChars="200"/>
              <w:rPr>
                <w:rFonts w:ascii="仿宋_GB2312" w:hAnsi="仿宋" w:eastAsia="仿宋_GB2312" w:cs="Times New Roman"/>
                <w:sz w:val="28"/>
                <w:szCs w:val="28"/>
              </w:rPr>
            </w:pPr>
          </w:p>
        </w:tc>
      </w:tr>
    </w:tbl>
    <w:p w14:paraId="1109C0B8">
      <w:pPr>
        <w:spacing w:line="560" w:lineRule="exact"/>
        <w:rPr>
          <w:rFonts w:ascii="仿宋_GB2312" w:hAnsi="仿宋" w:eastAsia="仿宋_GB2312" w:cs="仿宋_GB2312"/>
          <w:sz w:val="32"/>
          <w:szCs w:val="32"/>
        </w:rPr>
      </w:pPr>
    </w:p>
    <w:p w14:paraId="0BCDFD47">
      <w:pPr>
        <w:adjustRightInd w:val="0"/>
        <w:snapToGrid w:val="0"/>
        <w:spacing w:line="560" w:lineRule="exact"/>
        <w:ind w:firstLine="643" w:firstLineChars="200"/>
        <w:jc w:val="center"/>
        <w:outlineLvl w:val="1"/>
        <w:rPr>
          <w:rFonts w:ascii="楷体" w:hAnsi="楷体" w:eastAsia="楷体" w:cs="楷体"/>
          <w:b/>
          <w:color w:val="000000"/>
          <w:kern w:val="0"/>
          <w:sz w:val="32"/>
          <w:szCs w:val="32"/>
        </w:rPr>
      </w:pPr>
      <w:bookmarkStart w:id="97" w:name="_Toc60900801"/>
      <w:bookmarkStart w:id="98" w:name="_Toc10172"/>
      <w:bookmarkStart w:id="99" w:name="_Toc58081152"/>
      <w:r>
        <w:rPr>
          <w:rFonts w:hint="eastAsia" w:ascii="楷体" w:hAnsi="楷体" w:eastAsia="楷体" w:cs="楷体"/>
          <w:b/>
          <w:color w:val="000000"/>
          <w:kern w:val="0"/>
          <w:sz w:val="32"/>
          <w:szCs w:val="32"/>
        </w:rPr>
        <w:t>第四节  提升城区通达水平</w:t>
      </w:r>
      <w:bookmarkEnd w:id="97"/>
    </w:p>
    <w:p w14:paraId="12C3EF39">
      <w:pPr>
        <w:adjustRightInd w:val="0"/>
        <w:snapToGrid w:val="0"/>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加强“三个工程”建设，提升城市通达能力，承载产业发展、城市更新。</w:t>
      </w:r>
      <w:r>
        <w:rPr>
          <w:rFonts w:hint="eastAsia" w:ascii="仿宋_GB2312" w:hAnsi="仿宋" w:eastAsia="仿宋_GB2312" w:cs="宋体"/>
          <w:b/>
          <w:color w:val="000000"/>
          <w:kern w:val="0"/>
          <w:sz w:val="32"/>
          <w:szCs w:val="32"/>
        </w:rPr>
        <w:t>连通市际县区</w:t>
      </w:r>
      <w:r>
        <w:rPr>
          <w:rFonts w:hint="eastAsia" w:ascii="仿宋_GB2312" w:hAnsi="仿宋" w:eastAsia="仿宋_GB2312" w:cs="宋体"/>
          <w:color w:val="000000"/>
          <w:kern w:val="0"/>
          <w:sz w:val="32"/>
          <w:szCs w:val="32"/>
        </w:rPr>
        <w:t>，保障G345马城至唐集公路、黄疃窑大桥等项目建设，推动跨天河通道早日开工，进一步拉近马城与城区的距离，形成南接淮南、西连怀远的新型产业片区，培育新的经济增长点。</w:t>
      </w:r>
      <w:r>
        <w:rPr>
          <w:rFonts w:hint="eastAsia" w:ascii="仿宋_GB2312" w:hAnsi="仿宋" w:eastAsia="仿宋_GB2312" w:cs="宋体"/>
          <w:b/>
          <w:color w:val="000000"/>
          <w:kern w:val="0"/>
          <w:sz w:val="32"/>
          <w:szCs w:val="32"/>
        </w:rPr>
        <w:t>推进通江达海</w:t>
      </w:r>
      <w:r>
        <w:rPr>
          <w:rFonts w:hint="eastAsia" w:ascii="仿宋_GB2312" w:hAnsi="仿宋" w:eastAsia="仿宋_GB2312" w:cs="宋体"/>
          <w:color w:val="000000"/>
          <w:kern w:val="0"/>
          <w:sz w:val="32"/>
          <w:szCs w:val="32"/>
        </w:rPr>
        <w:t>，借助“引江济淮”工程建设，江淮运河将经寿县入淮河，中宏码头将成为淮河上游货物入蚌的前沿码头，依托马城绿色建材产业园的规划建设，马城区域发展能级将显著提升。</w:t>
      </w:r>
      <w:r>
        <w:rPr>
          <w:rFonts w:hint="eastAsia" w:ascii="仿宋_GB2312" w:hAnsi="仿宋" w:eastAsia="仿宋_GB2312" w:cs="宋体"/>
          <w:b/>
          <w:color w:val="000000"/>
          <w:kern w:val="0"/>
          <w:sz w:val="32"/>
          <w:szCs w:val="32"/>
        </w:rPr>
        <w:t>服务对外贸易</w:t>
      </w:r>
      <w:r>
        <w:rPr>
          <w:rFonts w:hint="eastAsia" w:ascii="仿宋_GB2312" w:hAnsi="仿宋" w:eastAsia="仿宋_GB2312" w:cs="宋体"/>
          <w:color w:val="000000"/>
          <w:kern w:val="0"/>
          <w:sz w:val="32"/>
          <w:szCs w:val="32"/>
        </w:rPr>
        <w:t>，</w:t>
      </w:r>
      <w:r>
        <w:rPr>
          <w:rFonts w:hint="eastAsia" w:ascii="仿宋_GB2312" w:hAnsi="仿宋" w:eastAsia="仿宋_GB2312" w:cs="宋体"/>
          <w:kern w:val="0"/>
          <w:sz w:val="32"/>
          <w:szCs w:val="32"/>
        </w:rPr>
        <w:t>推进淮河港航科技信息中心、淮河航运调度中心、淮河干流航道整治工程建设，提升蚌</w:t>
      </w:r>
      <w:r>
        <w:rPr>
          <w:rFonts w:hint="eastAsia" w:ascii="仿宋_GB2312" w:hAnsi="仿宋" w:eastAsia="仿宋_GB2312" w:cs="宋体"/>
          <w:color w:val="000000"/>
          <w:kern w:val="0"/>
          <w:sz w:val="32"/>
          <w:szCs w:val="32"/>
        </w:rPr>
        <w:t>埠国际集装箱码头建设水平，通过扩大堆场、增加泊位、完善配套、提升航运能级等方式，积极引进外籍货轮设立还箱点，助力蚌埠港壮大发展国际贸易，形成新的增长极。</w:t>
      </w:r>
      <w:bookmarkEnd w:id="98"/>
      <w:bookmarkEnd w:id="99"/>
    </w:p>
    <w:tbl>
      <w:tblPr>
        <w:tblStyle w:val="15"/>
        <w:tblpPr w:leftFromText="180" w:rightFromText="180" w:vertAnchor="text" w:horzAnchor="page" w:tblpX="2033" w:tblpY="5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5"/>
      </w:tblGrid>
      <w:tr w14:paraId="1D22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045" w:type="dxa"/>
          </w:tcPr>
          <w:p w14:paraId="54849C68">
            <w:pPr>
              <w:adjustRightInd w:val="0"/>
              <w:snapToGrid w:val="0"/>
              <w:spacing w:line="480" w:lineRule="exact"/>
              <w:ind w:firstLine="560" w:firstLineChars="200"/>
              <w:jc w:val="center"/>
              <w:rPr>
                <w:rFonts w:ascii="黑体" w:hAnsi="黑体" w:eastAsia="黑体" w:cs="黑体"/>
                <w:sz w:val="28"/>
                <w:szCs w:val="28"/>
              </w:rPr>
            </w:pPr>
            <w:r>
              <w:rPr>
                <w:rFonts w:hint="eastAsia" w:ascii="黑体" w:hAnsi="黑体" w:eastAsia="黑体" w:cs="黑体"/>
                <w:sz w:val="28"/>
                <w:szCs w:val="28"/>
              </w:rPr>
              <w:t>专栏10：交通建设项目</w:t>
            </w:r>
          </w:p>
          <w:p w14:paraId="679654D5">
            <w:pPr>
              <w:adjustRightInd w:val="0"/>
              <w:snapToGrid w:val="0"/>
              <w:spacing w:line="480" w:lineRule="exact"/>
              <w:ind w:firstLine="562" w:firstLineChars="200"/>
              <w:rPr>
                <w:rFonts w:ascii="仿宋_GB2312" w:hAnsi="仿宋" w:eastAsia="仿宋_GB2312" w:cs="Times New Roman"/>
                <w:bCs/>
                <w:sz w:val="28"/>
                <w:szCs w:val="28"/>
              </w:rPr>
            </w:pPr>
            <w:r>
              <w:rPr>
                <w:rFonts w:hint="eastAsia" w:ascii="仿宋_GB2312" w:hAnsi="仿宋" w:eastAsia="仿宋_GB2312" w:cs="Times New Roman"/>
                <w:b/>
                <w:sz w:val="28"/>
                <w:szCs w:val="28"/>
              </w:rPr>
              <w:t>G345马城至唐集一级公路。</w:t>
            </w:r>
            <w:r>
              <w:rPr>
                <w:rFonts w:hint="eastAsia" w:ascii="仿宋_GB2312" w:hAnsi="仿宋" w:eastAsia="仿宋_GB2312" w:cs="Times New Roman"/>
                <w:bCs/>
                <w:sz w:val="28"/>
                <w:szCs w:val="28"/>
              </w:rPr>
              <w:t>新建双向四车道一级公路，提升马城区域通行条件，带动区域经济发展。</w:t>
            </w:r>
          </w:p>
          <w:p w14:paraId="6C5FAC7E">
            <w:pPr>
              <w:adjustRightInd w:val="0"/>
              <w:snapToGrid w:val="0"/>
              <w:spacing w:line="480" w:lineRule="exact"/>
              <w:ind w:firstLine="562" w:firstLineChars="200"/>
              <w:rPr>
                <w:rFonts w:ascii="仿宋_GB2312" w:hAnsi="仿宋" w:eastAsia="仿宋_GB2312" w:cs="Times New Roman"/>
                <w:bCs/>
                <w:sz w:val="28"/>
                <w:szCs w:val="28"/>
              </w:rPr>
            </w:pPr>
            <w:r>
              <w:rPr>
                <w:rFonts w:hint="eastAsia" w:ascii="仿宋_GB2312" w:hAnsi="仿宋" w:eastAsia="仿宋_GB2312" w:cs="Times New Roman"/>
                <w:b/>
                <w:sz w:val="28"/>
                <w:szCs w:val="28"/>
              </w:rPr>
              <w:t>黄疃窑大桥项目。</w:t>
            </w:r>
            <w:r>
              <w:rPr>
                <w:rFonts w:hint="eastAsia" w:ascii="仿宋_GB2312" w:hAnsi="仿宋" w:eastAsia="仿宋_GB2312" w:cs="Times New Roman"/>
                <w:bCs/>
                <w:sz w:val="28"/>
                <w:szCs w:val="28"/>
              </w:rPr>
              <w:t>建设黄疃窑大桥，连通马城镇与怀远县常坟镇，促进蚌怀同城化发展。</w:t>
            </w:r>
          </w:p>
          <w:p w14:paraId="64911B38">
            <w:pPr>
              <w:adjustRightInd w:val="0"/>
              <w:snapToGrid w:val="0"/>
              <w:spacing w:line="480" w:lineRule="exact"/>
              <w:ind w:firstLine="562" w:firstLineChars="200"/>
              <w:rPr>
                <w:rFonts w:ascii="仿宋_GB2312" w:hAnsi="仿宋" w:eastAsia="仿宋_GB2312" w:cs="Times New Roman"/>
                <w:bCs/>
                <w:sz w:val="28"/>
                <w:szCs w:val="28"/>
              </w:rPr>
            </w:pPr>
            <w:r>
              <w:rPr>
                <w:rFonts w:hint="eastAsia" w:ascii="仿宋_GB2312" w:hAnsi="仿宋" w:eastAsia="仿宋_GB2312" w:cs="Times New Roman"/>
                <w:b/>
                <w:sz w:val="28"/>
                <w:szCs w:val="28"/>
              </w:rPr>
              <w:t>跨天河通道项目。</w:t>
            </w:r>
            <w:r>
              <w:rPr>
                <w:rFonts w:hint="eastAsia" w:ascii="仿宋_GB2312" w:hAnsi="仿宋" w:eastAsia="仿宋_GB2312" w:cs="Times New Roman"/>
                <w:bCs/>
                <w:sz w:val="28"/>
                <w:szCs w:val="28"/>
              </w:rPr>
              <w:t>主要建设跨天河通道以及通风、照明、消防等配套设施。</w:t>
            </w:r>
          </w:p>
          <w:p w14:paraId="10A687AB">
            <w:pPr>
              <w:adjustRightInd w:val="0"/>
              <w:snapToGrid w:val="0"/>
              <w:spacing w:line="480" w:lineRule="exact"/>
              <w:ind w:firstLine="562" w:firstLineChars="200"/>
              <w:rPr>
                <w:rFonts w:ascii="仿宋_GB2312" w:hAnsi="仿宋" w:eastAsia="仿宋_GB2312" w:cs="Times New Roman"/>
                <w:b/>
                <w:sz w:val="28"/>
                <w:szCs w:val="28"/>
              </w:rPr>
            </w:pPr>
            <w:r>
              <w:rPr>
                <w:rFonts w:hint="eastAsia" w:ascii="仿宋_GB2312" w:hAnsi="仿宋" w:eastAsia="仿宋_GB2312" w:cs="Times New Roman"/>
                <w:b/>
                <w:sz w:val="28"/>
                <w:szCs w:val="28"/>
              </w:rPr>
              <w:t>涂山路白改黑项目。</w:t>
            </w:r>
            <w:r>
              <w:rPr>
                <w:rFonts w:hint="eastAsia" w:ascii="仿宋_GB2312" w:hAnsi="仿宋" w:eastAsia="仿宋_GB2312" w:cs="Times New Roman"/>
                <w:sz w:val="28"/>
                <w:szCs w:val="28"/>
              </w:rPr>
              <w:t>对涂山路（朝阳路-东海大道）段进行道路绿化、路灯等市政道路提升改造，道路长度约7公里。</w:t>
            </w:r>
          </w:p>
          <w:p w14:paraId="4A558D11">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城区道路建设项目。</w:t>
            </w:r>
            <w:r>
              <w:rPr>
                <w:rFonts w:hint="eastAsia" w:ascii="仿宋_GB2312" w:hAnsi="仿宋" w:eastAsia="仿宋_GB2312" w:cs="Times New Roman"/>
                <w:sz w:val="28"/>
                <w:szCs w:val="28"/>
              </w:rPr>
              <w:t>建设改造</w:t>
            </w:r>
            <w:r>
              <w:rPr>
                <w:rFonts w:hint="eastAsia" w:ascii="仿宋_GB2312" w:hAnsi="仿宋_GB2312" w:eastAsia="仿宋_GB2312" w:cs="仿宋_GB2312"/>
                <w:sz w:val="28"/>
                <w:szCs w:val="28"/>
              </w:rPr>
              <w:t>堤下路（朝阳路-胜利西路段，道路长度1670米）、红旗二路（道路长度845米）</w:t>
            </w:r>
            <w:r>
              <w:rPr>
                <w:rFonts w:hint="eastAsia" w:ascii="仿宋_GB2312" w:hAnsi="仿宋" w:eastAsia="仿宋_GB2312" w:cs="Times New Roman"/>
                <w:sz w:val="28"/>
                <w:szCs w:val="28"/>
              </w:rPr>
              <w:t>、</w:t>
            </w:r>
            <w:r>
              <w:rPr>
                <w:rFonts w:hint="eastAsia" w:ascii="仿宋_GB2312" w:hAnsi="仿宋_GB2312" w:eastAsia="仿宋_GB2312" w:cs="仿宋_GB2312"/>
                <w:sz w:val="28"/>
                <w:szCs w:val="28"/>
              </w:rPr>
              <w:t>前进路（道路长度600米）、纬五路（道路长度610米）、纬六路（道路长度610米）等18条道路，配建排水、绿化、路灯、交通设施等，</w:t>
            </w:r>
            <w:r>
              <w:rPr>
                <w:rFonts w:hint="eastAsia" w:ascii="仿宋_GB2312" w:hAnsi="仿宋" w:eastAsia="仿宋_GB2312" w:cs="Times New Roman"/>
                <w:sz w:val="28"/>
                <w:szCs w:val="28"/>
              </w:rPr>
              <w:t>改造和新建道路总长度约19.63公里。</w:t>
            </w:r>
          </w:p>
          <w:p w14:paraId="756C6174">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G3高速禹会服务区提升改造工程。</w:t>
            </w:r>
            <w:r>
              <w:rPr>
                <w:rFonts w:hint="eastAsia" w:ascii="仿宋_GB2312" w:hAnsi="仿宋" w:eastAsia="仿宋_GB2312" w:cs="Times New Roman"/>
                <w:sz w:val="28"/>
                <w:szCs w:val="28"/>
              </w:rPr>
              <w:t>提升改造G3高速禹会服务区，增设游客观赏、休憩、充电桩等设施，为来往司乘人员提供优质服务。</w:t>
            </w:r>
          </w:p>
        </w:tc>
      </w:tr>
    </w:tbl>
    <w:p w14:paraId="56BD5165">
      <w:pPr>
        <w:autoSpaceDE w:val="0"/>
        <w:autoSpaceDN w:val="0"/>
        <w:adjustRightInd w:val="0"/>
        <w:snapToGrid w:val="0"/>
        <w:spacing w:line="560" w:lineRule="exact"/>
        <w:ind w:firstLine="643" w:firstLineChars="200"/>
        <w:jc w:val="center"/>
        <w:outlineLvl w:val="0"/>
        <w:rPr>
          <w:rFonts w:ascii="黑体" w:hAnsi="黑体" w:eastAsia="黑体" w:cs="黑体"/>
          <w:b/>
          <w:kern w:val="0"/>
          <w:sz w:val="32"/>
          <w:szCs w:val="32"/>
        </w:rPr>
      </w:pPr>
      <w:bookmarkStart w:id="100" w:name="_Toc60900802"/>
    </w:p>
    <w:p w14:paraId="7F894647">
      <w:pPr>
        <w:autoSpaceDE w:val="0"/>
        <w:autoSpaceDN w:val="0"/>
        <w:adjustRightInd w:val="0"/>
        <w:snapToGrid w:val="0"/>
        <w:spacing w:line="560" w:lineRule="exact"/>
        <w:ind w:firstLine="643" w:firstLineChars="200"/>
        <w:jc w:val="center"/>
        <w:outlineLvl w:val="0"/>
        <w:rPr>
          <w:rFonts w:ascii="黑体" w:hAnsi="黑体" w:eastAsia="黑体" w:cs="黑体"/>
          <w:b/>
          <w:kern w:val="0"/>
          <w:sz w:val="32"/>
          <w:szCs w:val="32"/>
        </w:rPr>
      </w:pPr>
      <w:r>
        <w:rPr>
          <w:rFonts w:hint="eastAsia" w:ascii="黑体" w:hAnsi="黑体" w:eastAsia="黑体" w:cs="黑体"/>
          <w:b/>
          <w:kern w:val="0"/>
          <w:sz w:val="32"/>
          <w:szCs w:val="32"/>
        </w:rPr>
        <w:t xml:space="preserve">第六章  </w:t>
      </w:r>
      <w:r>
        <w:rPr>
          <w:rFonts w:hint="eastAsia" w:ascii="黑体" w:hAnsi="黑体" w:eastAsia="黑体" w:cs="黑体"/>
          <w:b/>
          <w:sz w:val="32"/>
          <w:szCs w:val="32"/>
        </w:rPr>
        <w:t>生态优先，构建文旅融合试验区</w:t>
      </w:r>
      <w:bookmarkEnd w:id="100"/>
    </w:p>
    <w:p w14:paraId="0453018A">
      <w:pPr>
        <w:spacing w:line="560" w:lineRule="exact"/>
        <w:ind w:firstLine="640" w:firstLineChars="200"/>
        <w:rPr>
          <w:rFonts w:eastAsia="仿宋_GB2312"/>
          <w:color w:val="FF0000"/>
          <w:sz w:val="32"/>
          <w:szCs w:val="32"/>
        </w:rPr>
      </w:pPr>
      <w:bookmarkStart w:id="101" w:name="_Toc9313"/>
      <w:bookmarkStart w:id="102" w:name="_Toc58938530"/>
      <w:bookmarkStart w:id="103" w:name="_Toc15461"/>
      <w:bookmarkStart w:id="104" w:name="_Toc59301476"/>
      <w:bookmarkStart w:id="105" w:name="_Toc232"/>
      <w:bookmarkStart w:id="106" w:name="_Toc58081153"/>
      <w:r>
        <w:rPr>
          <w:rFonts w:hint="eastAsia" w:ascii="仿宋_GB2312" w:hAnsi="楷体" w:eastAsia="仿宋_GB2312" w:cs="楷体"/>
          <w:bCs/>
          <w:kern w:val="0"/>
          <w:sz w:val="32"/>
          <w:szCs w:val="32"/>
        </w:rPr>
        <w:t>坚持生态优先、绿色发展，加强“三线一单”与各类专项规划衔接，统筹山水林田湖草各系统资源保护、开发，充分挖掘“自古一线两源头”等特有的历史文化资源，打造文旅融合特色名片。</w:t>
      </w:r>
      <w:bookmarkEnd w:id="101"/>
      <w:bookmarkEnd w:id="102"/>
      <w:bookmarkEnd w:id="103"/>
      <w:bookmarkEnd w:id="104"/>
    </w:p>
    <w:p w14:paraId="47FD91A3">
      <w:pPr>
        <w:autoSpaceDE w:val="0"/>
        <w:autoSpaceDN w:val="0"/>
        <w:adjustRightInd w:val="0"/>
        <w:snapToGrid w:val="0"/>
        <w:spacing w:line="560" w:lineRule="exact"/>
        <w:ind w:firstLine="964" w:firstLineChars="300"/>
        <w:jc w:val="center"/>
        <w:outlineLvl w:val="1"/>
        <w:rPr>
          <w:rFonts w:ascii="楷体" w:hAnsi="楷体" w:eastAsia="楷体" w:cs="楷体"/>
          <w:b/>
          <w:bCs/>
          <w:kern w:val="0"/>
          <w:sz w:val="32"/>
          <w:szCs w:val="32"/>
        </w:rPr>
      </w:pPr>
      <w:bookmarkStart w:id="107" w:name="_Toc60900803"/>
      <w:r>
        <w:rPr>
          <w:rFonts w:hint="eastAsia" w:ascii="楷体" w:hAnsi="楷体" w:eastAsia="楷体" w:cs="楷体"/>
          <w:b/>
          <w:bCs/>
          <w:kern w:val="0"/>
          <w:sz w:val="32"/>
          <w:szCs w:val="32"/>
        </w:rPr>
        <w:t>第一节  加强生态保护与开发</w:t>
      </w:r>
      <w:bookmarkEnd w:id="107"/>
    </w:p>
    <w:p w14:paraId="01443849">
      <w:pPr>
        <w:autoSpaceDE w:val="0"/>
        <w:autoSpaceDN w:val="0"/>
        <w:adjustRightInd w:val="0"/>
        <w:snapToGrid w:val="0"/>
        <w:spacing w:line="560" w:lineRule="exact"/>
        <w:ind w:firstLine="640" w:firstLineChars="200"/>
        <w:jc w:val="left"/>
        <w:rPr>
          <w:rFonts w:ascii="仿宋_GB2312" w:hAnsi="仿宋" w:eastAsia="仿宋_GB2312" w:cs="仿宋_GB2312"/>
          <w:bCs/>
          <w:color w:val="000000"/>
          <w:kern w:val="0"/>
          <w:sz w:val="32"/>
          <w:szCs w:val="32"/>
        </w:rPr>
      </w:pPr>
      <w:r>
        <w:rPr>
          <w:rFonts w:hint="eastAsia" w:ascii="仿宋_GB2312" w:hAnsi="仿宋" w:eastAsia="仿宋_GB2312" w:cs="仿宋_GB2312"/>
          <w:bCs/>
          <w:color w:val="000000"/>
          <w:kern w:val="0"/>
          <w:sz w:val="32"/>
          <w:szCs w:val="32"/>
        </w:rPr>
        <w:t>牢固树立绿水青山就是金山银山的理念，</w:t>
      </w:r>
      <w:r>
        <w:rPr>
          <w:rFonts w:hint="eastAsia" w:ascii="仿宋_GB2312" w:hAnsi="仿宋" w:eastAsia="仿宋_GB2312" w:cs="仿宋_GB2312"/>
          <w:bCs/>
          <w:kern w:val="0"/>
          <w:sz w:val="32"/>
          <w:szCs w:val="32"/>
        </w:rPr>
        <w:t>推进“一调整、两修复、三提升”建设（“</w:t>
      </w:r>
      <w:r>
        <w:rPr>
          <w:rFonts w:hint="eastAsia" w:ascii="仿宋_GB2312" w:hAnsi="仿宋" w:eastAsia="仿宋_GB2312" w:cs="宋体"/>
          <w:kern w:val="0"/>
          <w:sz w:val="32"/>
          <w:szCs w:val="32"/>
        </w:rPr>
        <w:t>一调整</w:t>
      </w:r>
      <w:r>
        <w:rPr>
          <w:rFonts w:hint="eastAsia" w:ascii="仿宋_GB2312" w:hAnsi="仿宋" w:eastAsia="仿宋_GB2312" w:cs="仿宋_GB2312"/>
          <w:bCs/>
          <w:kern w:val="0"/>
          <w:sz w:val="32"/>
          <w:szCs w:val="32"/>
        </w:rPr>
        <w:t>”</w:t>
      </w:r>
      <w:r>
        <w:rPr>
          <w:rFonts w:hint="eastAsia" w:ascii="仿宋_GB2312" w:hAnsi="仿宋" w:eastAsia="仿宋_GB2312" w:cs="宋体"/>
          <w:kern w:val="0"/>
          <w:sz w:val="32"/>
          <w:szCs w:val="32"/>
        </w:rPr>
        <w:t>：协调开展天河应急水源地调整；“两修复”</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val="en-US" w:eastAsia="zh-CN"/>
        </w:rPr>
        <w:t>全面落实土壤污染防治工作，</w:t>
      </w:r>
      <w:r>
        <w:rPr>
          <w:rFonts w:hint="eastAsia" w:ascii="仿宋_GB2312" w:hAnsi="仿宋_GB2312" w:eastAsia="仿宋_GB2312" w:cs="仿宋_GB2312"/>
          <w:b w:val="0"/>
          <w:bCs w:val="0"/>
          <w:color w:val="auto"/>
          <w:kern w:val="0"/>
          <w:sz w:val="32"/>
          <w:szCs w:val="32"/>
        </w:rPr>
        <w:t>推动退市进园区域生态修复工程和大洪山区域生态修复工程</w:t>
      </w:r>
      <w:r>
        <w:rPr>
          <w:rFonts w:hint="eastAsia" w:ascii="仿宋_GB2312" w:hAnsi="仿宋" w:eastAsia="仿宋_GB2312" w:cs="宋体"/>
          <w:kern w:val="0"/>
          <w:sz w:val="32"/>
          <w:szCs w:val="32"/>
        </w:rPr>
        <w:t>；</w:t>
      </w:r>
      <w:bookmarkStart w:id="170" w:name="_GoBack"/>
      <w:bookmarkEnd w:id="170"/>
      <w:r>
        <w:rPr>
          <w:rFonts w:hint="eastAsia" w:ascii="仿宋_GB2312" w:hAnsi="仿宋" w:eastAsia="仿宋_GB2312" w:cs="宋体"/>
          <w:kern w:val="0"/>
          <w:sz w:val="32"/>
          <w:szCs w:val="32"/>
        </w:rPr>
        <w:t>“三提升”：提升淮河河道通行能力；提升荆山湖生态建设；提升席家沟、八里沟等水系环境，拓展城区灵动空间</w:t>
      </w:r>
      <w:r>
        <w:rPr>
          <w:rFonts w:hint="eastAsia" w:ascii="仿宋_GB2312" w:hAnsi="仿宋" w:eastAsia="仿宋_GB2312" w:cs="仿宋_GB2312"/>
          <w:bCs/>
          <w:kern w:val="0"/>
          <w:sz w:val="32"/>
          <w:szCs w:val="32"/>
        </w:rPr>
        <w:t>），全</w:t>
      </w:r>
      <w:r>
        <w:rPr>
          <w:rFonts w:hint="eastAsia" w:ascii="仿宋_GB2312" w:hAnsi="仿宋" w:eastAsia="仿宋_GB2312" w:cs="仿宋_GB2312"/>
          <w:bCs/>
          <w:color w:val="000000"/>
          <w:kern w:val="0"/>
          <w:sz w:val="32"/>
          <w:szCs w:val="32"/>
        </w:rPr>
        <w:t>面优化生态环境，构建绿色发展体系，形成河湖清亲两岸绿、人与自然和谐相处的新格局</w:t>
      </w:r>
      <w:bookmarkEnd w:id="105"/>
      <w:bookmarkEnd w:id="106"/>
      <w:r>
        <w:rPr>
          <w:rFonts w:hint="eastAsia" w:ascii="仿宋_GB2312" w:hAnsi="仿宋" w:eastAsia="仿宋_GB2312" w:cs="宋体"/>
          <w:color w:val="000000"/>
          <w:kern w:val="0"/>
          <w:sz w:val="32"/>
          <w:szCs w:val="32"/>
        </w:rPr>
        <w:t>。加快黑虎山公园、涂山公园、张公山北公园等项目建设，持续提升主次干道绿化覆</w:t>
      </w:r>
      <w:r>
        <w:rPr>
          <w:rFonts w:hint="eastAsia" w:ascii="仿宋_GB2312" w:hAnsi="仿宋" w:eastAsia="仿宋_GB2312" w:cs="宋体"/>
          <w:kern w:val="0"/>
          <w:sz w:val="32"/>
          <w:szCs w:val="32"/>
        </w:rPr>
        <w:t>盖率</w:t>
      </w:r>
      <w:r>
        <w:rPr>
          <w:rFonts w:hint="eastAsia" w:ascii="仿宋_GB2312" w:hAnsi="仿宋" w:eastAsia="仿宋_GB2312" w:cs="宋体"/>
          <w:color w:val="000000"/>
          <w:kern w:val="0"/>
          <w:sz w:val="32"/>
          <w:szCs w:val="32"/>
        </w:rPr>
        <w:t>，拓展绿化</w:t>
      </w:r>
      <w:r>
        <w:rPr>
          <w:rFonts w:hint="eastAsia" w:ascii="仿宋_GB2312" w:hAnsi="仿宋" w:eastAsia="仿宋_GB2312" w:cs="仿宋_GB2312"/>
          <w:bCs/>
          <w:color w:val="000000"/>
          <w:kern w:val="0"/>
          <w:sz w:val="32"/>
          <w:szCs w:val="32"/>
        </w:rPr>
        <w:t>空间，</w:t>
      </w:r>
      <w:r>
        <w:rPr>
          <w:rFonts w:ascii="仿宋_GB2312" w:hAnsi="仿宋" w:eastAsia="仿宋_GB2312" w:cs="仿宋_GB2312"/>
          <w:bCs/>
          <w:color w:val="000000"/>
          <w:kern w:val="0"/>
          <w:sz w:val="32"/>
          <w:szCs w:val="32"/>
        </w:rPr>
        <w:t>发挥森林碳汇在实现碳达峰、碳中和中的重要作用</w:t>
      </w:r>
      <w:r>
        <w:rPr>
          <w:rFonts w:hint="eastAsia" w:ascii="仿宋_GB2312" w:hAnsi="仿宋" w:eastAsia="仿宋_GB2312" w:cs="仿宋_GB2312"/>
          <w:bCs/>
          <w:color w:val="000000"/>
          <w:kern w:val="0"/>
          <w:sz w:val="32"/>
          <w:szCs w:val="32"/>
        </w:rPr>
        <w:t>，打造具有重要影响力的经济社会发展全面绿色转型区。</w:t>
      </w:r>
    </w:p>
    <w:p w14:paraId="24B60C30">
      <w:pPr>
        <w:adjustRightInd w:val="0"/>
        <w:snapToGrid w:val="0"/>
        <w:spacing w:line="560" w:lineRule="exact"/>
        <w:ind w:firstLine="640" w:firstLineChars="200"/>
        <w:rPr>
          <w:rFonts w:ascii="仿宋_GB2312" w:hAnsi="仿宋" w:eastAsia="仿宋_GB2312" w:cs="宋体"/>
          <w:kern w:val="0"/>
          <w:sz w:val="32"/>
          <w:szCs w:val="32"/>
        </w:rPr>
      </w:pPr>
    </w:p>
    <w:bookmarkEnd w:id="51"/>
    <w:bookmarkEnd w:id="52"/>
    <w:bookmarkEnd w:id="53"/>
    <w:bookmarkEnd w:id="79"/>
    <w:bookmarkEnd w:id="80"/>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0"/>
      </w:tblGrid>
      <w:tr w14:paraId="2A57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0" w:type="dxa"/>
          </w:tcPr>
          <w:p w14:paraId="6C5A9138">
            <w:pPr>
              <w:adjustRightInd w:val="0"/>
              <w:snapToGrid w:val="0"/>
              <w:spacing w:line="480" w:lineRule="exact"/>
              <w:jc w:val="center"/>
              <w:rPr>
                <w:rFonts w:ascii="黑体" w:hAnsi="黑体" w:eastAsia="黑体" w:cs="Times New Roman"/>
                <w:sz w:val="28"/>
                <w:szCs w:val="28"/>
              </w:rPr>
            </w:pPr>
            <w:r>
              <w:rPr>
                <w:rFonts w:hint="eastAsia" w:ascii="黑体" w:hAnsi="黑体" w:eastAsia="黑体" w:cs="Times New Roman"/>
                <w:sz w:val="28"/>
                <w:szCs w:val="28"/>
              </w:rPr>
              <w:t>专栏11：绿色发展重点项目</w:t>
            </w:r>
          </w:p>
          <w:p w14:paraId="69D8795C">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黑虎山公园建设项目。</w:t>
            </w:r>
            <w:r>
              <w:rPr>
                <w:rFonts w:hint="eastAsia" w:ascii="仿宋_GB2312" w:hAnsi="仿宋" w:eastAsia="仿宋_GB2312" w:cs="Times New Roman"/>
                <w:sz w:val="28"/>
                <w:szCs w:val="28"/>
              </w:rPr>
              <w:t>主要开展水系治理、园林绿化提升、景观小品建设。</w:t>
            </w:r>
          </w:p>
          <w:p w14:paraId="23652E12">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涂山公园建设项目。</w:t>
            </w:r>
            <w:r>
              <w:rPr>
                <w:rFonts w:hint="eastAsia" w:ascii="仿宋_GB2312" w:hAnsi="仿宋" w:eastAsia="仿宋_GB2312" w:cs="Times New Roman"/>
                <w:sz w:val="28"/>
                <w:szCs w:val="28"/>
              </w:rPr>
              <w:t>建设大禹祭祀广场、园林绿化、景观小品以及相关配套道路、停车场等设施，提升服务能级。</w:t>
            </w:r>
          </w:p>
          <w:p w14:paraId="71CA3DA7">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大洪山综合开发项目。</w:t>
            </w:r>
            <w:r>
              <w:rPr>
                <w:rFonts w:hint="eastAsia" w:ascii="仿宋_GB2312" w:hAnsi="仿宋" w:eastAsia="仿宋_GB2312" w:cs="Times New Roman"/>
                <w:sz w:val="28"/>
                <w:szCs w:val="28"/>
              </w:rPr>
              <w:t>进行废弃矿坑整治、塘口除险与生态开发。</w:t>
            </w:r>
          </w:p>
          <w:p w14:paraId="0AC24E79">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孔津湖洼地综合治理改造项目。</w:t>
            </w:r>
            <w:r>
              <w:rPr>
                <w:rFonts w:hint="eastAsia" w:ascii="仿宋_GB2312" w:hAnsi="仿宋" w:eastAsia="仿宋_GB2312" w:cs="Times New Roman"/>
                <w:sz w:val="28"/>
                <w:szCs w:val="28"/>
              </w:rPr>
              <w:t>吴家沟、独山河清淤和岸线整治，孔津湖农田水利基础设施和耕地生产能力提升改造。</w:t>
            </w:r>
          </w:p>
          <w:p w14:paraId="3C9823DF">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八里沟北段（涂山路—淮河大堤）、席家沟生态环境整治项目。</w:t>
            </w:r>
            <w:r>
              <w:rPr>
                <w:rFonts w:hint="eastAsia" w:ascii="仿宋_GB2312" w:hAnsi="仿宋" w:eastAsia="仿宋_GB2312" w:cs="Times New Roman"/>
                <w:sz w:val="28"/>
                <w:szCs w:val="28"/>
              </w:rPr>
              <w:t>计划对席家沟、八里沟涂山路至淮河大堤段进行护坡、绿化、浮岛等相关设施建设。</w:t>
            </w:r>
          </w:p>
          <w:p w14:paraId="2357C135">
            <w:pPr>
              <w:adjustRightInd w:val="0"/>
              <w:snapToGrid w:val="0"/>
              <w:spacing w:line="480" w:lineRule="exact"/>
              <w:ind w:firstLine="562" w:firstLineChars="200"/>
              <w:rPr>
                <w:rFonts w:ascii="仿宋_GB2312" w:hAnsi="仿宋" w:eastAsia="仿宋_GB2312" w:cs="Times New Roman"/>
                <w:b/>
                <w:color w:val="FF0000"/>
                <w:sz w:val="28"/>
                <w:szCs w:val="28"/>
              </w:rPr>
            </w:pPr>
            <w:r>
              <w:rPr>
                <w:rFonts w:hint="eastAsia" w:ascii="仿宋_GB2312" w:hAnsi="仿宋" w:eastAsia="仿宋_GB2312" w:cs="Times New Roman"/>
                <w:b/>
                <w:sz w:val="28"/>
                <w:szCs w:val="28"/>
              </w:rPr>
              <w:t>生态廊道建设项目。</w:t>
            </w:r>
            <w:r>
              <w:rPr>
                <w:rFonts w:hint="eastAsia" w:ascii="仿宋_GB2312" w:hAnsi="仿宋" w:eastAsia="仿宋_GB2312" w:cs="Times New Roman"/>
                <w:sz w:val="28"/>
                <w:szCs w:val="28"/>
              </w:rPr>
              <w:t>对东海大道西段（黑虎山路-荆涂淮河大桥收费站）进行绿化提升，绿化面积65.6万平方米。</w:t>
            </w:r>
          </w:p>
          <w:p w14:paraId="3A811559">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天河湖平原水库项目。</w:t>
            </w:r>
            <w:r>
              <w:rPr>
                <w:rFonts w:hint="eastAsia" w:ascii="仿宋_GB2312" w:hAnsi="仿宋" w:eastAsia="仿宋_GB2312" w:cs="Times New Roman"/>
                <w:sz w:val="28"/>
                <w:szCs w:val="28"/>
              </w:rPr>
              <w:t>实施天河清淤、岸线整治、截污、打造湿地、生态修复、休闲道路等内容。</w:t>
            </w:r>
          </w:p>
          <w:p w14:paraId="3A03ECD3">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天河应急水源地调整项目。</w:t>
            </w:r>
            <w:r>
              <w:rPr>
                <w:rFonts w:hint="eastAsia" w:ascii="仿宋_GB2312" w:hAnsi="仿宋" w:eastAsia="仿宋_GB2312" w:cs="Times New Roman"/>
                <w:sz w:val="28"/>
                <w:szCs w:val="28"/>
              </w:rPr>
              <w:t>调整天河应急水源地，建设芡河至蚌埠市区取水管网，优化城市发展空间。</w:t>
            </w:r>
          </w:p>
          <w:p w14:paraId="7A1D0F04">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大洪山引水上山项目。</w:t>
            </w:r>
            <w:r>
              <w:rPr>
                <w:rFonts w:hint="eastAsia" w:ascii="仿宋_GB2312" w:hAnsi="仿宋" w:eastAsia="仿宋_GB2312" w:cs="Times New Roman"/>
                <w:sz w:val="28"/>
                <w:szCs w:val="28"/>
              </w:rPr>
              <w:t>在大洪山新建提水泵站，铺设管道，覆盖消防、灌溉15000亩，有效改善大洪山的生态环境。</w:t>
            </w:r>
          </w:p>
        </w:tc>
      </w:tr>
    </w:tbl>
    <w:p w14:paraId="6987581D">
      <w:pPr>
        <w:autoSpaceDE w:val="0"/>
        <w:autoSpaceDN w:val="0"/>
        <w:adjustRightInd w:val="0"/>
        <w:snapToGrid w:val="0"/>
        <w:spacing w:line="560" w:lineRule="exact"/>
        <w:ind w:firstLine="640" w:firstLineChars="200"/>
        <w:rPr>
          <w:rFonts w:ascii="仿宋_GB2312" w:hAnsi="仿宋" w:eastAsia="仿宋_GB2312" w:cs="宋体"/>
          <w:kern w:val="0"/>
          <w:sz w:val="32"/>
          <w:szCs w:val="32"/>
        </w:rPr>
      </w:pPr>
    </w:p>
    <w:p w14:paraId="6C9E39E9">
      <w:pPr>
        <w:autoSpaceDE w:val="0"/>
        <w:autoSpaceDN w:val="0"/>
        <w:adjustRightInd w:val="0"/>
        <w:snapToGrid w:val="0"/>
        <w:spacing w:line="560" w:lineRule="exact"/>
        <w:ind w:firstLine="643" w:firstLineChars="200"/>
        <w:jc w:val="center"/>
        <w:outlineLvl w:val="1"/>
        <w:rPr>
          <w:rFonts w:ascii="楷体" w:hAnsi="楷体" w:eastAsia="楷体" w:cs="楷体"/>
          <w:b/>
          <w:bCs/>
          <w:kern w:val="0"/>
          <w:sz w:val="32"/>
          <w:szCs w:val="32"/>
        </w:rPr>
      </w:pPr>
      <w:bookmarkStart w:id="108" w:name="_Toc15105"/>
      <w:bookmarkStart w:id="109" w:name="_Toc58081154"/>
      <w:bookmarkStart w:id="110" w:name="_Toc60900804"/>
      <w:r>
        <w:rPr>
          <w:rFonts w:hint="eastAsia" w:ascii="楷体" w:hAnsi="楷体" w:eastAsia="楷体" w:cs="楷体"/>
          <w:b/>
          <w:bCs/>
          <w:kern w:val="0"/>
          <w:sz w:val="32"/>
          <w:szCs w:val="32"/>
        </w:rPr>
        <w:t>第二节  建设皖北优质文旅中心</w:t>
      </w:r>
      <w:bookmarkEnd w:id="108"/>
      <w:bookmarkEnd w:id="109"/>
      <w:bookmarkEnd w:id="110"/>
    </w:p>
    <w:p w14:paraId="02D23DBF">
      <w:pPr>
        <w:adjustRightInd w:val="0"/>
        <w:snapToGrid w:val="0"/>
        <w:spacing w:line="560" w:lineRule="exact"/>
        <w:ind w:firstLine="643" w:firstLineChars="200"/>
        <w:rPr>
          <w:rFonts w:ascii="仿宋_GB2312" w:hAnsi="仿宋" w:eastAsia="仿宋_GB2312"/>
          <w:sz w:val="32"/>
          <w:szCs w:val="32"/>
        </w:rPr>
      </w:pPr>
      <w:bookmarkStart w:id="111" w:name="_Toc26665"/>
      <w:bookmarkStart w:id="112" w:name="_Toc4505"/>
      <w:bookmarkStart w:id="113" w:name="_Toc58081155"/>
      <w:bookmarkStart w:id="114" w:name="_Toc2573"/>
      <w:bookmarkStart w:id="115" w:name="_Toc15313"/>
      <w:bookmarkStart w:id="116" w:name="_Toc8081"/>
      <w:r>
        <w:rPr>
          <w:rFonts w:hint="eastAsia" w:ascii="仿宋_GB2312" w:hAnsi="仿宋" w:eastAsia="仿宋_GB2312" w:cs="宋体"/>
          <w:b/>
          <w:kern w:val="0"/>
          <w:sz w:val="32"/>
          <w:szCs w:val="32"/>
        </w:rPr>
        <w:t>推动老工业遗存综合开发。</w:t>
      </w:r>
      <w:r>
        <w:rPr>
          <w:rFonts w:hint="eastAsia" w:ascii="仿宋_GB2312" w:hAnsi="仿宋" w:eastAsia="仿宋_GB2312" w:cs="宋体"/>
          <w:kern w:val="0"/>
          <w:sz w:val="32"/>
          <w:szCs w:val="32"/>
        </w:rPr>
        <w:t>推动柴油机厂、米厂、金银制品厂文化创意和创新创业基地建设，利用丰富的工业遗存，发展文化创意、科技服务等产业，服务大众创业、万众创新</w:t>
      </w:r>
      <w:bookmarkEnd w:id="111"/>
      <w:bookmarkEnd w:id="112"/>
      <w:bookmarkEnd w:id="113"/>
      <w:bookmarkEnd w:id="114"/>
      <w:bookmarkEnd w:id="115"/>
      <w:bookmarkEnd w:id="116"/>
      <w:r>
        <w:rPr>
          <w:rFonts w:hint="eastAsia" w:ascii="仿宋_GB2312" w:hAnsi="仿宋" w:eastAsia="仿宋_GB2312" w:cs="宋体"/>
          <w:kern w:val="0"/>
          <w:sz w:val="32"/>
          <w:szCs w:val="32"/>
        </w:rPr>
        <w:t>，培育新的经济增长点。</w:t>
      </w:r>
      <w:bookmarkStart w:id="117" w:name="_Toc499"/>
      <w:bookmarkStart w:id="118" w:name="_Toc58081156"/>
      <w:bookmarkStart w:id="119" w:name="_Toc16300"/>
      <w:bookmarkStart w:id="120" w:name="_Toc11271"/>
      <w:bookmarkStart w:id="121" w:name="_Toc31316"/>
      <w:bookmarkStart w:id="122" w:name="_Toc3244"/>
      <w:r>
        <w:rPr>
          <w:rFonts w:hint="eastAsia" w:ascii="仿宋_GB2312" w:hAnsi="仿宋" w:eastAsia="仿宋_GB2312" w:cs="宋体"/>
          <w:b/>
          <w:kern w:val="0"/>
          <w:sz w:val="32"/>
          <w:szCs w:val="32"/>
        </w:rPr>
        <w:t>促进乡村旅游发展。</w:t>
      </w:r>
      <w:r>
        <w:rPr>
          <w:rFonts w:hint="eastAsia" w:ascii="仿宋_GB2312" w:hAnsi="仿宋" w:eastAsia="仿宋_GB2312" w:cs="宋体"/>
          <w:kern w:val="0"/>
          <w:sz w:val="32"/>
          <w:szCs w:val="32"/>
        </w:rPr>
        <w:t>完成禾泉特色农旅小镇建设，发挥文旅项目带动作用。加强涂山、黑虎山、大洪山及天河景区生态保护和修复，建设骑行道、登山步道、半马赛道等项目，完善景区周边基础设施，培育发展马拉松、骑行、露营等“体育+”旅游业态，推进生态旅游、森林康养、科普基地、森林经济等新业态发展，打造山水环绕、生态优美、辐射皖北的旅游集散中心。</w:t>
      </w:r>
      <w:bookmarkEnd w:id="117"/>
      <w:bookmarkEnd w:id="118"/>
      <w:bookmarkEnd w:id="119"/>
      <w:bookmarkEnd w:id="120"/>
      <w:bookmarkEnd w:id="121"/>
      <w:bookmarkEnd w:id="122"/>
      <w:bookmarkStart w:id="123" w:name="_Toc19108"/>
      <w:bookmarkStart w:id="124" w:name="_Toc26646"/>
      <w:bookmarkStart w:id="125" w:name="_Toc58081157"/>
      <w:bookmarkStart w:id="126" w:name="_Toc32635"/>
      <w:bookmarkStart w:id="127" w:name="_Toc20713"/>
      <w:bookmarkStart w:id="128" w:name="_Toc17651"/>
      <w:r>
        <w:rPr>
          <w:rFonts w:hint="eastAsia" w:ascii="仿宋_GB2312" w:hAnsi="仿宋" w:eastAsia="仿宋_GB2312" w:cs="宋体"/>
          <w:b/>
          <w:kern w:val="0"/>
          <w:sz w:val="32"/>
          <w:szCs w:val="32"/>
        </w:rPr>
        <w:t>实施大禹文化再现工程。</w:t>
      </w:r>
      <w:r>
        <w:rPr>
          <w:rFonts w:hint="eastAsia" w:ascii="仿宋_GB2312" w:hAnsi="仿宋" w:eastAsia="仿宋_GB2312" w:cs="宋体"/>
          <w:kern w:val="0"/>
          <w:sz w:val="32"/>
          <w:szCs w:val="32"/>
        </w:rPr>
        <w:t>深度挖掘</w:t>
      </w:r>
      <w:r>
        <w:rPr>
          <w:rFonts w:ascii="仿宋_GB2312" w:hAnsi="仿宋" w:eastAsia="仿宋_GB2312" w:cs="宋体"/>
          <w:kern w:val="0"/>
          <w:sz w:val="32"/>
          <w:szCs w:val="32"/>
        </w:rPr>
        <w:t>大禹治水</w:t>
      </w:r>
      <w:r>
        <w:rPr>
          <w:rFonts w:hint="eastAsia" w:ascii="仿宋_GB2312" w:hAnsi="仿宋" w:eastAsia="仿宋_GB2312" w:cs="宋体"/>
          <w:kern w:val="0"/>
          <w:sz w:val="32"/>
          <w:szCs w:val="32"/>
        </w:rPr>
        <w:t xml:space="preserve"> “劈山导淮”变堵为疏的创新精神，领略“</w:t>
      </w:r>
      <w:r>
        <w:rPr>
          <w:rFonts w:ascii="仿宋_GB2312" w:hAnsi="仿宋" w:eastAsia="仿宋_GB2312" w:cs="宋体"/>
          <w:kern w:val="0"/>
          <w:sz w:val="32"/>
          <w:szCs w:val="32"/>
        </w:rPr>
        <w:t>禹会诸侯于涂山</w:t>
      </w:r>
      <w:r>
        <w:rPr>
          <w:rFonts w:hint="eastAsia" w:ascii="仿宋_GB2312" w:hAnsi="仿宋" w:eastAsia="仿宋_GB2312" w:cs="宋体"/>
          <w:kern w:val="0"/>
          <w:sz w:val="32"/>
          <w:szCs w:val="32"/>
        </w:rPr>
        <w:t>、</w:t>
      </w:r>
      <w:r>
        <w:rPr>
          <w:rFonts w:ascii="仿宋_GB2312" w:hAnsi="仿宋" w:eastAsia="仿宋_GB2312" w:cs="宋体"/>
          <w:kern w:val="0"/>
          <w:sz w:val="32"/>
          <w:szCs w:val="32"/>
        </w:rPr>
        <w:t>执玉帛者万国</w:t>
      </w:r>
      <w:r>
        <w:rPr>
          <w:rFonts w:hint="eastAsia" w:ascii="仿宋_GB2312" w:hAnsi="仿宋" w:eastAsia="仿宋_GB2312" w:cs="宋体"/>
          <w:kern w:val="0"/>
          <w:sz w:val="32"/>
          <w:szCs w:val="32"/>
        </w:rPr>
        <w:t>”</w:t>
      </w:r>
      <w:r>
        <w:rPr>
          <w:rFonts w:ascii="仿宋_GB2312" w:hAnsi="仿宋" w:eastAsia="仿宋_GB2312" w:cs="宋体"/>
          <w:kern w:val="0"/>
          <w:sz w:val="32"/>
          <w:szCs w:val="32"/>
        </w:rPr>
        <w:t>的磅礴气势</w:t>
      </w:r>
      <w:r>
        <w:rPr>
          <w:rFonts w:hint="eastAsia" w:ascii="仿宋_GB2312" w:hAnsi="仿宋" w:eastAsia="仿宋_GB2312" w:cs="宋体"/>
          <w:kern w:val="0"/>
          <w:sz w:val="32"/>
          <w:szCs w:val="32"/>
        </w:rPr>
        <w:t>；体味“三过家门而不入”的家国情怀、敬仰“望夫成石、端坐涂山”的忠贞精神，将历史记载、历史传说、历史故事，</w:t>
      </w:r>
      <w:r>
        <w:rPr>
          <w:rFonts w:ascii="仿宋_GB2312" w:hAnsi="仿宋" w:eastAsia="仿宋_GB2312" w:cs="宋体"/>
          <w:kern w:val="0"/>
          <w:sz w:val="32"/>
          <w:szCs w:val="32"/>
        </w:rPr>
        <w:t>转化为互动体验、可视</w:t>
      </w:r>
      <w:r>
        <w:rPr>
          <w:rFonts w:hint="eastAsia" w:ascii="仿宋_GB2312" w:hAnsi="仿宋" w:eastAsia="仿宋_GB2312" w:cs="宋体"/>
          <w:kern w:val="0"/>
          <w:sz w:val="32"/>
          <w:szCs w:val="32"/>
        </w:rPr>
        <w:t>再现的大禹文化盛宴，</w:t>
      </w:r>
      <w:r>
        <w:rPr>
          <w:rFonts w:hint="eastAsia" w:ascii="仿宋_GB2312" w:hAnsi="仿宋" w:eastAsia="仿宋_GB2312"/>
          <w:sz w:val="32"/>
          <w:szCs w:val="32"/>
        </w:rPr>
        <w:t>形成登涂山、观天河、赏非遗、品历史的高端享受</w:t>
      </w:r>
      <w:bookmarkEnd w:id="123"/>
      <w:bookmarkEnd w:id="124"/>
      <w:bookmarkEnd w:id="125"/>
      <w:bookmarkEnd w:id="126"/>
      <w:bookmarkEnd w:id="127"/>
      <w:bookmarkEnd w:id="128"/>
      <w:r>
        <w:rPr>
          <w:rFonts w:hint="eastAsia" w:ascii="仿宋_GB2312" w:hAnsi="仿宋" w:eastAsia="仿宋_GB2312"/>
          <w:sz w:val="32"/>
          <w:szCs w:val="32"/>
        </w:rPr>
        <w:t>，</w:t>
      </w:r>
      <w:r>
        <w:rPr>
          <w:rFonts w:hint="eastAsia" w:ascii="仿宋_GB2312" w:hAnsi="仿宋" w:eastAsia="仿宋_GB2312" w:cs="宋体"/>
          <w:kern w:val="0"/>
          <w:sz w:val="32"/>
          <w:szCs w:val="32"/>
        </w:rPr>
        <w:t>提升大禹文化品牌影响力</w:t>
      </w:r>
      <w:r>
        <w:rPr>
          <w:rFonts w:hint="eastAsia" w:ascii="仿宋_GB2312" w:hAnsi="仿宋" w:eastAsia="仿宋_GB2312"/>
          <w:sz w:val="32"/>
          <w:szCs w:val="32"/>
        </w:rPr>
        <w:t xml:space="preserve">。 </w:t>
      </w:r>
    </w:p>
    <w:p w14:paraId="760BB68E">
      <w:pPr>
        <w:adjustRightInd w:val="0"/>
        <w:snapToGrid w:val="0"/>
        <w:spacing w:line="560" w:lineRule="exact"/>
        <w:ind w:firstLine="640" w:firstLineChars="200"/>
        <w:rPr>
          <w:rFonts w:ascii="仿宋_GB2312" w:hAnsi="仿宋" w:eastAsia="仿宋_GB2312" w:cs="宋体"/>
          <w:kern w:val="0"/>
          <w:sz w:val="32"/>
          <w:szCs w:val="32"/>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5"/>
      </w:tblGrid>
      <w:tr w14:paraId="5F98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5" w:type="dxa"/>
          </w:tcPr>
          <w:p w14:paraId="04A63CB4">
            <w:pPr>
              <w:adjustRightInd w:val="0"/>
              <w:snapToGrid w:val="0"/>
              <w:spacing w:line="480" w:lineRule="exact"/>
              <w:jc w:val="center"/>
              <w:rPr>
                <w:rFonts w:ascii="黑体" w:hAnsi="黑体" w:eastAsia="黑体" w:cs="Times New Roman"/>
                <w:sz w:val="28"/>
                <w:szCs w:val="28"/>
              </w:rPr>
            </w:pPr>
            <w:r>
              <w:rPr>
                <w:rFonts w:hint="eastAsia" w:ascii="黑体" w:hAnsi="黑体" w:eastAsia="黑体" w:cs="Times New Roman"/>
                <w:sz w:val="28"/>
                <w:szCs w:val="28"/>
              </w:rPr>
              <w:t>专栏12：文化旅游重点项目</w:t>
            </w:r>
          </w:p>
          <w:p w14:paraId="2EE580FB">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禹会村遗址历史旅游综合项目。</w:t>
            </w:r>
            <w:r>
              <w:rPr>
                <w:rFonts w:hint="eastAsia" w:ascii="仿宋_GB2312" w:hAnsi="仿宋" w:eastAsia="仿宋_GB2312" w:cs="Times New Roman"/>
                <w:sz w:val="28"/>
                <w:szCs w:val="28"/>
              </w:rPr>
              <w:t>建设文物陈列展览、文物藏品库房、文物保护研究及行政办公等相关设施。</w:t>
            </w:r>
          </w:p>
          <w:p w14:paraId="130FA3AA">
            <w:pPr>
              <w:adjustRightInd w:val="0"/>
              <w:snapToGrid w:val="0"/>
              <w:spacing w:line="480" w:lineRule="exact"/>
              <w:ind w:firstLine="562" w:firstLineChars="200"/>
              <w:rPr>
                <w:rFonts w:ascii="仿宋_GB2312" w:hAnsi="仿宋" w:eastAsia="仿宋_GB2312" w:cs="Times New Roman"/>
                <w:b/>
                <w:sz w:val="28"/>
                <w:szCs w:val="28"/>
              </w:rPr>
            </w:pPr>
            <w:r>
              <w:rPr>
                <w:rFonts w:hint="eastAsia" w:ascii="仿宋_GB2312" w:hAnsi="仿宋" w:eastAsia="仿宋_GB2312" w:cs="Times New Roman"/>
                <w:b/>
                <w:sz w:val="28"/>
                <w:szCs w:val="28"/>
              </w:rPr>
              <w:t>非物质文化遗产传承和旅游开发项目。</w:t>
            </w:r>
            <w:r>
              <w:rPr>
                <w:rFonts w:hint="eastAsia" w:ascii="仿宋_GB2312" w:hAnsi="仿宋" w:eastAsia="仿宋_GB2312" w:cs="Times New Roman"/>
                <w:bCs/>
                <w:sz w:val="28"/>
                <w:szCs w:val="28"/>
              </w:rPr>
              <w:t>以中国花鼓灯第一村为着力点，</w:t>
            </w:r>
            <w:r>
              <w:rPr>
                <w:rFonts w:hint="eastAsia" w:ascii="仿宋_GB2312" w:hAnsi="仿宋" w:eastAsia="仿宋_GB2312" w:cs="Times New Roman"/>
                <w:sz w:val="28"/>
                <w:szCs w:val="28"/>
              </w:rPr>
              <w:t>建设非物质文化遗产传承中心，作为大禹文化的综合载体，项目建成后将成为蚌埠文化新地标</w:t>
            </w:r>
            <w:r>
              <w:rPr>
                <w:rFonts w:hint="eastAsia" w:ascii="仿宋_GB2312" w:hAnsi="仿宋" w:eastAsia="仿宋_GB2312" w:cs="Times New Roman"/>
                <w:b/>
                <w:sz w:val="28"/>
                <w:szCs w:val="28"/>
              </w:rPr>
              <w:t>。</w:t>
            </w:r>
          </w:p>
          <w:p w14:paraId="3211323C">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禹会区工业遗存保护开发项目。</w:t>
            </w:r>
            <w:r>
              <w:rPr>
                <w:rFonts w:hint="eastAsia" w:ascii="仿宋_GB2312" w:hAnsi="仿宋" w:eastAsia="仿宋_GB2312" w:cs="Times New Roman"/>
                <w:sz w:val="28"/>
                <w:szCs w:val="28"/>
              </w:rPr>
              <w:t>利用现有工业遗存建设大石马文创园，打造集文化旅游休闲、文创等为一体的旅游会客厅。</w:t>
            </w:r>
          </w:p>
          <w:p w14:paraId="7EFCE4E5">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米厂（柴油机厂）文创园项目。</w:t>
            </w:r>
            <w:r>
              <w:rPr>
                <w:rFonts w:hint="eastAsia" w:ascii="仿宋_GB2312" w:hAnsi="仿宋" w:eastAsia="仿宋_GB2312" w:cs="Times New Roman"/>
                <w:sz w:val="28"/>
                <w:szCs w:val="28"/>
              </w:rPr>
              <w:t>主要建设文创办公、地下车库及相关配套设施，推动文化创意产业发展。</w:t>
            </w:r>
          </w:p>
          <w:p w14:paraId="6B14BCB4">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涂山景区旅游景点提升改造项目。</w:t>
            </w:r>
            <w:r>
              <w:rPr>
                <w:rFonts w:hint="eastAsia" w:ascii="仿宋_GB2312" w:hAnsi="仿宋" w:eastAsia="仿宋_GB2312" w:cs="Times New Roman"/>
                <w:sz w:val="28"/>
                <w:szCs w:val="28"/>
              </w:rPr>
              <w:t>对文笔峰、禹王宫等景点进行提升改造，满足群众户外活动需求。</w:t>
            </w:r>
          </w:p>
          <w:p w14:paraId="1C2560BB">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涂山-黑虎山防火通道（骑行步道）项目。</w:t>
            </w:r>
            <w:r>
              <w:rPr>
                <w:rFonts w:hint="eastAsia" w:ascii="仿宋_GB2312" w:hAnsi="仿宋" w:eastAsia="仿宋_GB2312" w:cs="Times New Roman"/>
                <w:sz w:val="28"/>
                <w:szCs w:val="28"/>
              </w:rPr>
              <w:t>依托涂山-黑虎山景区山林地貌，建设山地自行车运动专业场地，以及运动俱乐部、游客接待中心等设施，服务森林防火、游客出行。</w:t>
            </w:r>
          </w:p>
          <w:p w14:paraId="16337A3B">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国际研学基地项目。</w:t>
            </w:r>
            <w:r>
              <w:rPr>
                <w:rFonts w:hint="eastAsia" w:ascii="仿宋_GB2312" w:hAnsi="仿宋" w:eastAsia="仿宋_GB2312" w:cs="Times New Roman"/>
                <w:sz w:val="28"/>
                <w:szCs w:val="28"/>
              </w:rPr>
              <w:t>利用北师大国际教育品牌，打造以国防教育为主题，覆盖皖北地区集文化旅游和教学教研为一体的文化研学基地。</w:t>
            </w:r>
          </w:p>
          <w:p w14:paraId="1ADDE0DE">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禾泉农旅小镇项目。</w:t>
            </w:r>
            <w:r>
              <w:rPr>
                <w:rFonts w:hint="eastAsia" w:ascii="仿宋_GB2312" w:hAnsi="仿宋" w:eastAsia="仿宋_GB2312" w:cs="Times New Roman"/>
                <w:sz w:val="28"/>
                <w:szCs w:val="28"/>
              </w:rPr>
              <w:t xml:space="preserve"> 实施“农业众创空间”“创意创客领地”“旅居聚集中心”“淮河文化风情街”，打造乡村特色旅游（居）目的地。</w:t>
            </w:r>
          </w:p>
          <w:p w14:paraId="1BB46A69">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大洪山森林生态小镇项目。</w:t>
            </w:r>
            <w:r>
              <w:rPr>
                <w:rFonts w:hint="eastAsia" w:ascii="仿宋_GB2312" w:hAnsi="仿宋" w:eastAsia="仿宋_GB2312" w:cs="Times New Roman"/>
                <w:sz w:val="28"/>
                <w:szCs w:val="28"/>
              </w:rPr>
              <w:t>建设集生态休闲、文化娱乐、科普研学于一体的大型综合性旅游基地。</w:t>
            </w:r>
          </w:p>
          <w:p w14:paraId="2B3AD9C6">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钓鱼台遗址公园项目。</w:t>
            </w:r>
            <w:r>
              <w:rPr>
                <w:rFonts w:hint="eastAsia" w:ascii="仿宋_GB2312" w:hAnsi="仿宋" w:eastAsia="仿宋_GB2312" w:cs="Times New Roman"/>
                <w:sz w:val="28"/>
                <w:szCs w:val="28"/>
              </w:rPr>
              <w:t>新建遗址博物馆、景观走廊、沿河步道及绿地等内容</w:t>
            </w:r>
            <w:r>
              <w:rPr>
                <w:rFonts w:ascii="仿宋_GB2312" w:hAnsi="仿宋" w:eastAsia="仿宋_GB2312" w:cs="Times New Roman"/>
                <w:sz w:val="28"/>
                <w:szCs w:val="28"/>
              </w:rPr>
              <w:t>，</w:t>
            </w:r>
            <w:r>
              <w:rPr>
                <w:rFonts w:hint="eastAsia" w:ascii="仿宋_GB2312" w:hAnsi="仿宋" w:eastAsia="仿宋_GB2312" w:cs="Times New Roman"/>
                <w:sz w:val="28"/>
                <w:szCs w:val="28"/>
              </w:rPr>
              <w:t>提升片区文化功能</w:t>
            </w:r>
            <w:r>
              <w:rPr>
                <w:rFonts w:ascii="仿宋_GB2312" w:hAnsi="仿宋" w:eastAsia="仿宋_GB2312" w:cs="Times New Roman"/>
                <w:sz w:val="28"/>
                <w:szCs w:val="28"/>
              </w:rPr>
              <w:t>。</w:t>
            </w:r>
          </w:p>
        </w:tc>
      </w:tr>
    </w:tbl>
    <w:p w14:paraId="517FA622">
      <w:pPr>
        <w:adjustRightInd w:val="0"/>
        <w:snapToGrid w:val="0"/>
        <w:spacing w:line="560" w:lineRule="exact"/>
        <w:ind w:firstLine="640" w:firstLineChars="200"/>
        <w:rPr>
          <w:rFonts w:ascii="仿宋_GB2312" w:hAnsi="仿宋" w:eastAsia="仿宋_GB2312" w:cs="宋体"/>
          <w:kern w:val="0"/>
          <w:sz w:val="32"/>
          <w:szCs w:val="32"/>
        </w:rPr>
      </w:pPr>
    </w:p>
    <w:p w14:paraId="4C4473A3">
      <w:pPr>
        <w:adjustRightInd w:val="0"/>
        <w:spacing w:line="560" w:lineRule="exact"/>
        <w:ind w:firstLine="643" w:firstLineChars="200"/>
        <w:jc w:val="center"/>
        <w:outlineLvl w:val="1"/>
        <w:rPr>
          <w:rFonts w:ascii="楷体" w:hAnsi="楷体" w:eastAsia="楷体" w:cs="楷体"/>
          <w:b/>
          <w:sz w:val="32"/>
          <w:szCs w:val="32"/>
        </w:rPr>
      </w:pPr>
      <w:bookmarkStart w:id="129" w:name="_Toc60900805"/>
      <w:r>
        <w:rPr>
          <w:rFonts w:hint="eastAsia" w:ascii="楷体" w:hAnsi="楷体" w:eastAsia="楷体" w:cs="楷体"/>
          <w:b/>
          <w:sz w:val="32"/>
          <w:szCs w:val="32"/>
        </w:rPr>
        <w:t>第三节  纵深推进乡村振兴</w:t>
      </w:r>
      <w:bookmarkEnd w:id="129"/>
    </w:p>
    <w:p w14:paraId="6E3F9CF3">
      <w:pPr>
        <w:adjustRightInd w:val="0"/>
        <w:spacing w:line="560" w:lineRule="exact"/>
        <w:ind w:firstLine="643" w:firstLineChars="200"/>
        <w:jc w:val="left"/>
        <w:rPr>
          <w:rFonts w:ascii="仿宋_GB2312" w:hAnsi="仿宋" w:eastAsia="仿宋_GB2312" w:cs="Times New Roman"/>
          <w:sz w:val="32"/>
          <w:szCs w:val="32"/>
        </w:rPr>
      </w:pPr>
      <w:r>
        <w:rPr>
          <w:rFonts w:hint="eastAsia" w:ascii="仿宋_GB2312" w:hAnsi="仿宋" w:eastAsia="仿宋_GB2312" w:cs="Times New Roman"/>
          <w:b/>
          <w:sz w:val="32"/>
          <w:szCs w:val="32"/>
        </w:rPr>
        <w:t>优化乡村建设管理。</w:t>
      </w:r>
      <w:r>
        <w:rPr>
          <w:rFonts w:hint="eastAsia" w:ascii="仿宋_GB2312" w:hAnsi="仿宋" w:eastAsia="仿宋_GB2312" w:cs="Times New Roman"/>
          <w:sz w:val="32"/>
          <w:szCs w:val="32"/>
        </w:rPr>
        <w:t>深入实施“百村示范，千村整治”工程，</w:t>
      </w:r>
      <w:r>
        <w:rPr>
          <w:rFonts w:ascii="仿宋_GB2312" w:hAnsi="仿宋" w:eastAsia="仿宋_GB2312" w:cs="仿宋_GB2312"/>
          <w:color w:val="000000"/>
          <w:kern w:val="0"/>
          <w:sz w:val="32"/>
          <w:szCs w:val="32"/>
        </w:rPr>
        <w:t>推进</w:t>
      </w:r>
      <w:r>
        <w:rPr>
          <w:rFonts w:hint="eastAsia" w:ascii="仿宋_GB2312" w:hAnsi="仿宋" w:eastAsia="仿宋_GB2312" w:cs="仿宋_GB2312"/>
          <w:color w:val="000000"/>
          <w:kern w:val="0"/>
          <w:sz w:val="32"/>
          <w:szCs w:val="32"/>
        </w:rPr>
        <w:t>“旱改水”“空心村”整治，提升土地利用率，服务农业增产、农民增收。加</w:t>
      </w:r>
      <w:r>
        <w:rPr>
          <w:rFonts w:hint="eastAsia" w:eastAsia="仿宋_GB2312"/>
          <w:sz w:val="32"/>
          <w:szCs w:val="32"/>
        </w:rPr>
        <w:t>强</w:t>
      </w:r>
      <w:r>
        <w:rPr>
          <w:rFonts w:eastAsia="仿宋_GB2312"/>
          <w:sz w:val="32"/>
          <w:szCs w:val="32"/>
        </w:rPr>
        <w:t>农民宅基地</w:t>
      </w:r>
      <w:r>
        <w:rPr>
          <w:rFonts w:hint="eastAsia" w:eastAsia="仿宋_GB2312"/>
          <w:sz w:val="32"/>
          <w:szCs w:val="32"/>
        </w:rPr>
        <w:t>、</w:t>
      </w:r>
      <w:r>
        <w:rPr>
          <w:rFonts w:eastAsia="仿宋_GB2312"/>
          <w:sz w:val="32"/>
          <w:szCs w:val="32"/>
        </w:rPr>
        <w:t>设施</w:t>
      </w:r>
      <w:r>
        <w:rPr>
          <w:rFonts w:hint="eastAsia" w:eastAsia="仿宋_GB2312"/>
          <w:sz w:val="32"/>
          <w:szCs w:val="32"/>
        </w:rPr>
        <w:t>农用地使用</w:t>
      </w:r>
      <w:r>
        <w:rPr>
          <w:rFonts w:eastAsia="仿宋_GB2312"/>
          <w:sz w:val="32"/>
          <w:szCs w:val="32"/>
        </w:rPr>
        <w:t>管理</w:t>
      </w:r>
      <w:r>
        <w:rPr>
          <w:rFonts w:hint="eastAsia" w:eastAsia="仿宋_GB2312"/>
          <w:sz w:val="32"/>
          <w:szCs w:val="32"/>
        </w:rPr>
        <w:t>，</w:t>
      </w:r>
      <w:r>
        <w:rPr>
          <w:rFonts w:eastAsia="仿宋_GB2312"/>
          <w:sz w:val="32"/>
          <w:szCs w:val="32"/>
        </w:rPr>
        <w:t>坚决遏制耕地“非农化”、防止“非粮化”，</w:t>
      </w:r>
      <w:r>
        <w:rPr>
          <w:rFonts w:hint="eastAsia" w:eastAsia="仿宋_GB2312"/>
          <w:sz w:val="32"/>
          <w:szCs w:val="32"/>
        </w:rPr>
        <w:t>切实</w:t>
      </w:r>
      <w:r>
        <w:rPr>
          <w:rFonts w:eastAsia="仿宋_GB2312"/>
          <w:sz w:val="32"/>
          <w:szCs w:val="32"/>
        </w:rPr>
        <w:t>扛起粮食安全责任。</w:t>
      </w:r>
      <w:r>
        <w:rPr>
          <w:rFonts w:hint="eastAsia" w:ascii="仿宋_GB2312" w:hAnsi="仿宋" w:eastAsia="仿宋_GB2312" w:cs="Times New Roman"/>
          <w:sz w:val="32"/>
          <w:szCs w:val="32"/>
        </w:rPr>
        <w:t>新修200公里乡村道路，推进农村安全饮水项目实施。</w:t>
      </w:r>
      <w:r>
        <w:rPr>
          <w:rFonts w:hint="eastAsia" w:ascii="仿宋_GB2312" w:hAnsi="仿宋" w:eastAsia="仿宋_GB2312" w:cs="仿宋_GB2312"/>
          <w:bCs/>
          <w:color w:val="000000"/>
          <w:kern w:val="0"/>
          <w:sz w:val="32"/>
          <w:szCs w:val="32"/>
        </w:rPr>
        <w:t>加快美丽乡村建设，</w:t>
      </w:r>
      <w:r>
        <w:rPr>
          <w:rFonts w:hint="eastAsia" w:ascii="仿宋_GB2312" w:hAnsi="仿宋" w:eastAsia="仿宋_GB2312" w:cs="仿宋_GB2312"/>
          <w:color w:val="000000"/>
          <w:kern w:val="0"/>
          <w:sz w:val="32"/>
          <w:szCs w:val="32"/>
        </w:rPr>
        <w:t>以上洪村、下洪村美丽乡村示范村建设为引领，</w:t>
      </w:r>
      <w:r>
        <w:rPr>
          <w:rFonts w:hint="eastAsia" w:ascii="仿宋_GB2312" w:hAnsi="仿宋" w:eastAsia="仿宋_GB2312" w:cs="Times New Roman"/>
          <w:sz w:val="32"/>
          <w:szCs w:val="32"/>
        </w:rPr>
        <w:t>补齐民生短板，发展民宿、农创产业，助力乡村振兴，增强百姓福祉。</w:t>
      </w:r>
      <w:r>
        <w:rPr>
          <w:rFonts w:hint="eastAsia" w:ascii="仿宋_GB2312" w:hAnsi="仿宋" w:eastAsia="仿宋_GB2312" w:cs="Times New Roman"/>
          <w:b/>
          <w:sz w:val="32"/>
          <w:szCs w:val="32"/>
        </w:rPr>
        <w:t>优化现代农业产业体系</w:t>
      </w:r>
      <w:r>
        <w:rPr>
          <w:rFonts w:hint="eastAsia" w:ascii="仿宋_GB2312" w:hAnsi="仿宋" w:eastAsia="仿宋_GB2312" w:cs="Times New Roman"/>
          <w:sz w:val="32"/>
          <w:szCs w:val="32"/>
        </w:rPr>
        <w:t>。围绕孔津湖优质糯米、荆山湖稻虾、天河湖水产品等优势产业，推进农产品深加工园区建设，提升产业化水平，促进农民增收。严格控制面源污染，加强生态文明建设，</w:t>
      </w:r>
      <w:r>
        <w:rPr>
          <w:rFonts w:eastAsia="仿宋_GB2312"/>
          <w:sz w:val="32"/>
          <w:szCs w:val="32"/>
        </w:rPr>
        <w:t>新增高标准农田</w:t>
      </w:r>
      <w:r>
        <w:rPr>
          <w:rFonts w:hint="eastAsia" w:ascii="仿宋_GB2312" w:eastAsia="仿宋_GB2312"/>
          <w:sz w:val="32"/>
          <w:szCs w:val="32"/>
        </w:rPr>
        <w:t>2.5万亩</w:t>
      </w:r>
      <w:r>
        <w:rPr>
          <w:rFonts w:hint="eastAsia" w:eastAsia="仿宋_GB2312"/>
          <w:sz w:val="32"/>
          <w:szCs w:val="32"/>
        </w:rPr>
        <w:t>，</w:t>
      </w:r>
      <w:r>
        <w:rPr>
          <w:rFonts w:eastAsia="仿宋_GB2312"/>
          <w:sz w:val="32"/>
          <w:szCs w:val="32"/>
        </w:rPr>
        <w:t>积极创建长三角绿色农产品生产加工示范基地。</w:t>
      </w:r>
      <w:r>
        <w:rPr>
          <w:rFonts w:hint="eastAsia" w:ascii="仿宋_GB2312" w:hAnsi="仿宋" w:eastAsia="仿宋_GB2312" w:cs="Times New Roman"/>
          <w:b/>
          <w:sz w:val="32"/>
          <w:szCs w:val="32"/>
        </w:rPr>
        <w:t>以工业化带动农业现代化，</w:t>
      </w:r>
      <w:r>
        <w:rPr>
          <w:rFonts w:hint="eastAsia" w:ascii="仿宋_GB2312" w:hAnsi="仿宋" w:eastAsia="仿宋_GB2312" w:cs="Times New Roman"/>
          <w:sz w:val="32"/>
          <w:szCs w:val="32"/>
        </w:rPr>
        <w:t>依托现代工业发展，产业园区建设，加强农民就业培训，加速推进劳动力转移，力争5年内转移农村人口1.2万人就业，推动农村人口向职业农民和产业工人有序转变，促进一二三产深度融合。</w:t>
      </w:r>
    </w:p>
    <w:p w14:paraId="1593F663">
      <w:pPr>
        <w:adjustRightInd w:val="0"/>
        <w:spacing w:line="560" w:lineRule="exact"/>
        <w:ind w:firstLine="640" w:firstLineChars="200"/>
        <w:jc w:val="left"/>
        <w:rPr>
          <w:rFonts w:ascii="仿宋_GB2312" w:hAnsi="仿宋" w:eastAsia="仿宋_GB2312" w:cs="Times New Roman"/>
          <w:sz w:val="32"/>
          <w:szCs w:val="32"/>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9"/>
      </w:tblGrid>
      <w:tr w14:paraId="33BE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9" w:type="dxa"/>
          </w:tcPr>
          <w:p w14:paraId="6188295E">
            <w:pPr>
              <w:adjustRightInd w:val="0"/>
              <w:snapToGrid w:val="0"/>
              <w:spacing w:line="480" w:lineRule="exact"/>
              <w:jc w:val="center"/>
              <w:rPr>
                <w:rFonts w:ascii="黑体" w:hAnsi="黑体" w:eastAsia="黑体" w:cs="Times New Roman"/>
                <w:sz w:val="28"/>
                <w:szCs w:val="28"/>
              </w:rPr>
            </w:pPr>
            <w:r>
              <w:rPr>
                <w:rFonts w:hint="eastAsia" w:ascii="黑体" w:hAnsi="黑体" w:eastAsia="黑体" w:cs="Times New Roman"/>
                <w:sz w:val="28"/>
                <w:szCs w:val="28"/>
              </w:rPr>
              <w:t>专栏13：农业重点项目</w:t>
            </w:r>
          </w:p>
          <w:p w14:paraId="28185BA4">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禹会区粮食产业园项目。</w:t>
            </w:r>
            <w:r>
              <w:rPr>
                <w:rFonts w:hint="eastAsia" w:ascii="仿宋_GB2312" w:hAnsi="仿宋" w:eastAsia="仿宋_GB2312" w:cs="Times New Roman"/>
                <w:sz w:val="28"/>
                <w:szCs w:val="28"/>
              </w:rPr>
              <w:t>为中储粮代建22.5万吨仓容粮食仓库和相关配套基础设施。提升粮食储备质量，保障粮食安全。</w:t>
            </w:r>
          </w:p>
          <w:p w14:paraId="56D6154A">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蚌埠市第三仓库项目。</w:t>
            </w:r>
            <w:r>
              <w:rPr>
                <w:rFonts w:hint="eastAsia" w:ascii="仿宋_GB2312" w:hAnsi="仿宋" w:eastAsia="仿宋_GB2312" w:cs="Times New Roman"/>
                <w:sz w:val="28"/>
                <w:szCs w:val="28"/>
              </w:rPr>
              <w:t xml:space="preserve">为粮食三库建设7.6万吨仓容粮食仓库和相关配套基础设施。提升粮食储备质量，保障粮食安全。 </w:t>
            </w:r>
          </w:p>
          <w:p w14:paraId="17908199">
            <w:pPr>
              <w:adjustRightInd w:val="0"/>
              <w:snapToGrid w:val="0"/>
              <w:spacing w:line="480" w:lineRule="exact"/>
              <w:ind w:firstLine="562" w:firstLineChars="200"/>
              <w:rPr>
                <w:rFonts w:ascii="仿宋_GB2312" w:hAnsi="仿宋" w:eastAsia="仿宋_GB2312" w:cs="Times New Roman"/>
                <w:b/>
                <w:bCs/>
                <w:sz w:val="28"/>
                <w:szCs w:val="28"/>
              </w:rPr>
            </w:pPr>
            <w:r>
              <w:rPr>
                <w:rFonts w:hint="eastAsia" w:ascii="仿宋_GB2312" w:hAnsi="仿宋" w:eastAsia="仿宋_GB2312" w:cs="Times New Roman"/>
                <w:b/>
                <w:bCs/>
                <w:sz w:val="28"/>
                <w:szCs w:val="28"/>
              </w:rPr>
              <w:t>高端食品产业园项目。</w:t>
            </w:r>
            <w:r>
              <w:rPr>
                <w:rFonts w:hint="eastAsia" w:ascii="仿宋_GB2312" w:hAnsi="仿宋" w:eastAsia="仿宋_GB2312" w:cs="Times New Roman"/>
                <w:sz w:val="28"/>
                <w:szCs w:val="28"/>
              </w:rPr>
              <w:t>建设工业巧克力、可可豆、新鲜水果冻干食品、冻干水果巧克力涂层加工区及食品研发、检测、认证中心等。</w:t>
            </w:r>
          </w:p>
          <w:p w14:paraId="70ED5B37">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农田水利改造提升项目。</w:t>
            </w:r>
            <w:r>
              <w:rPr>
                <w:rFonts w:hint="eastAsia" w:ascii="仿宋_GB2312" w:hAnsi="仿宋" w:eastAsia="仿宋_GB2312" w:cs="Times New Roman"/>
                <w:sz w:val="28"/>
                <w:szCs w:val="28"/>
              </w:rPr>
              <w:t>对马城南部平原井灌区、十二门塘灌区、天河周边灌区、孔津湖和荆山湖区域的圩区洼地进行改造提升，提升防洪排涝灌溉能力。</w:t>
            </w:r>
          </w:p>
          <w:p w14:paraId="38792B4A">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四好农村路建设项目</w:t>
            </w:r>
            <w:r>
              <w:rPr>
                <w:rFonts w:hint="eastAsia" w:ascii="仿宋_GB2312" w:hAnsi="仿宋" w:eastAsia="仿宋_GB2312" w:cs="Times New Roman"/>
                <w:sz w:val="28"/>
                <w:szCs w:val="28"/>
              </w:rPr>
              <w:t>。对现有农村道路进行路面硬化，提升改造乡村道路200公里。</w:t>
            </w:r>
          </w:p>
          <w:p w14:paraId="47566872">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上下洪乡村振兴示范区项目。</w:t>
            </w:r>
            <w:r>
              <w:rPr>
                <w:rFonts w:hint="eastAsia" w:ascii="仿宋_GB2312" w:hAnsi="仿宋" w:eastAsia="仿宋_GB2312" w:cs="Times New Roman"/>
                <w:sz w:val="28"/>
                <w:szCs w:val="28"/>
              </w:rPr>
              <w:t>启动上下洪美丽乡村建设，修复区域人文景观，改造村庄基础设施和环境，建设特色民宿，发展乡村休闲旅游产业。</w:t>
            </w:r>
          </w:p>
          <w:p w14:paraId="71ABCE68">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孔津湖优质稻米生产加工基地项目。</w:t>
            </w:r>
            <w:r>
              <w:rPr>
                <w:rFonts w:hint="eastAsia" w:ascii="仿宋_GB2312" w:hAnsi="仿宋" w:eastAsia="仿宋_GB2312" w:cs="Times New Roman"/>
                <w:sz w:val="28"/>
                <w:szCs w:val="28"/>
              </w:rPr>
              <w:t>在孔津湖区域建成2.5万亩优质水稻生产基地和日加工1000吨粮食能力的烘干中心，提高农产品附加值。</w:t>
            </w:r>
          </w:p>
          <w:p w14:paraId="26BC6AF6">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涂山万亩优质石榴基地项目。</w:t>
            </w:r>
            <w:r>
              <w:rPr>
                <w:rFonts w:hint="eastAsia" w:ascii="仿宋_GB2312" w:hAnsi="仿宋" w:eastAsia="仿宋_GB2312" w:cs="Times New Roman"/>
                <w:sz w:val="28"/>
                <w:szCs w:val="28"/>
              </w:rPr>
              <w:t>建设万亩涂山石榴基地，引进新品种，提升改造涂山周边石榴品质。</w:t>
            </w:r>
          </w:p>
          <w:p w14:paraId="08A5AFDB">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大洪山林下石斛种植基地项目</w:t>
            </w:r>
            <w:r>
              <w:rPr>
                <w:rFonts w:hint="eastAsia" w:ascii="仿宋_GB2312" w:hAnsi="仿宋" w:eastAsia="仿宋_GB2312" w:cs="Times New Roman"/>
                <w:sz w:val="28"/>
                <w:szCs w:val="28"/>
              </w:rPr>
              <w:t>。利用大洪山森林资源，大力发展石斛等中草药种植，发展森林康养及特色种植产业。</w:t>
            </w:r>
          </w:p>
          <w:p w14:paraId="7C8096FD">
            <w:pPr>
              <w:adjustRightInd w:val="0"/>
              <w:snapToGrid w:val="0"/>
              <w:spacing w:line="480" w:lineRule="exact"/>
              <w:ind w:firstLine="562" w:firstLineChars="200"/>
              <w:rPr>
                <w:rFonts w:ascii="仿宋_GB2312" w:hAnsi="仿宋" w:eastAsia="仿宋_GB2312" w:cs="Times New Roman"/>
                <w:b/>
                <w:sz w:val="28"/>
                <w:szCs w:val="28"/>
              </w:rPr>
            </w:pPr>
          </w:p>
        </w:tc>
      </w:tr>
    </w:tbl>
    <w:p w14:paraId="2967632F">
      <w:pPr>
        <w:adjustRightInd w:val="0"/>
        <w:spacing w:line="560" w:lineRule="exact"/>
        <w:ind w:firstLine="640" w:firstLineChars="200"/>
        <w:jc w:val="left"/>
        <w:rPr>
          <w:rFonts w:ascii="仿宋_GB2312" w:hAnsi="仿宋" w:eastAsia="仿宋_GB2312" w:cs="仿宋_GB2312"/>
          <w:color w:val="000000"/>
          <w:kern w:val="0"/>
          <w:sz w:val="32"/>
          <w:szCs w:val="32"/>
        </w:rPr>
      </w:pPr>
    </w:p>
    <w:p w14:paraId="4CCC96D9">
      <w:pPr>
        <w:autoSpaceDE w:val="0"/>
        <w:autoSpaceDN w:val="0"/>
        <w:adjustRightInd w:val="0"/>
        <w:snapToGrid w:val="0"/>
        <w:spacing w:line="560" w:lineRule="exact"/>
        <w:ind w:firstLine="643" w:firstLineChars="200"/>
        <w:jc w:val="center"/>
        <w:rPr>
          <w:rFonts w:ascii="黑体" w:hAnsi="黑体" w:eastAsia="黑体" w:cs="黑体"/>
          <w:b/>
          <w:bCs/>
          <w:kern w:val="0"/>
          <w:sz w:val="32"/>
          <w:szCs w:val="32"/>
        </w:rPr>
      </w:pPr>
    </w:p>
    <w:p w14:paraId="5607009C">
      <w:pPr>
        <w:autoSpaceDE w:val="0"/>
        <w:autoSpaceDN w:val="0"/>
        <w:adjustRightInd w:val="0"/>
        <w:snapToGrid w:val="0"/>
        <w:spacing w:line="560" w:lineRule="exact"/>
        <w:ind w:firstLine="643" w:firstLineChars="200"/>
        <w:jc w:val="center"/>
        <w:rPr>
          <w:rFonts w:ascii="黑体" w:hAnsi="黑体" w:eastAsia="黑体" w:cs="黑体"/>
          <w:b/>
          <w:bCs/>
          <w:kern w:val="0"/>
          <w:sz w:val="32"/>
          <w:szCs w:val="32"/>
        </w:rPr>
      </w:pPr>
    </w:p>
    <w:p w14:paraId="66D55E20">
      <w:pPr>
        <w:autoSpaceDE w:val="0"/>
        <w:autoSpaceDN w:val="0"/>
        <w:adjustRightInd w:val="0"/>
        <w:snapToGrid w:val="0"/>
        <w:spacing w:line="560" w:lineRule="exact"/>
        <w:ind w:firstLine="643" w:firstLineChars="200"/>
        <w:jc w:val="center"/>
        <w:rPr>
          <w:rFonts w:ascii="黑体" w:hAnsi="黑体" w:eastAsia="黑体" w:cs="黑体"/>
          <w:b/>
          <w:bCs/>
          <w:kern w:val="0"/>
          <w:sz w:val="32"/>
          <w:szCs w:val="32"/>
        </w:rPr>
      </w:pPr>
    </w:p>
    <w:p w14:paraId="03226F35">
      <w:pPr>
        <w:widowControl/>
        <w:jc w:val="left"/>
        <w:rPr>
          <w:rFonts w:ascii="黑体" w:hAnsi="黑体" w:eastAsia="黑体" w:cs="黑体"/>
          <w:b/>
          <w:bCs/>
          <w:kern w:val="0"/>
          <w:sz w:val="32"/>
          <w:szCs w:val="32"/>
        </w:rPr>
      </w:pPr>
      <w:bookmarkStart w:id="130" w:name="_Toc60900806"/>
      <w:r>
        <w:rPr>
          <w:rFonts w:ascii="黑体" w:hAnsi="黑体" w:eastAsia="黑体" w:cs="黑体"/>
          <w:b/>
          <w:bCs/>
          <w:kern w:val="0"/>
          <w:sz w:val="32"/>
          <w:szCs w:val="32"/>
        </w:rPr>
        <w:br w:type="page"/>
      </w:r>
    </w:p>
    <w:p w14:paraId="1FC0EDC1">
      <w:pPr>
        <w:autoSpaceDE w:val="0"/>
        <w:autoSpaceDN w:val="0"/>
        <w:adjustRightInd w:val="0"/>
        <w:snapToGrid w:val="0"/>
        <w:spacing w:line="560" w:lineRule="exact"/>
        <w:ind w:firstLine="643" w:firstLineChars="200"/>
        <w:jc w:val="center"/>
        <w:outlineLvl w:val="0"/>
        <w:rPr>
          <w:rFonts w:ascii="黑体" w:hAnsi="黑体" w:eastAsia="黑体" w:cs="黑体"/>
          <w:sz w:val="32"/>
          <w:szCs w:val="32"/>
        </w:rPr>
      </w:pPr>
      <w:r>
        <w:rPr>
          <w:rFonts w:hint="eastAsia" w:ascii="黑体" w:hAnsi="黑体" w:eastAsia="黑体" w:cs="黑体"/>
          <w:b/>
          <w:bCs/>
          <w:kern w:val="0"/>
          <w:sz w:val="32"/>
          <w:szCs w:val="32"/>
        </w:rPr>
        <w:t>第七章  以人为本，全面提升群众的幸福指数</w:t>
      </w:r>
      <w:bookmarkEnd w:id="130"/>
    </w:p>
    <w:p w14:paraId="5BEB2742">
      <w:pPr>
        <w:spacing w:line="560" w:lineRule="exact"/>
        <w:ind w:firstLine="640" w:firstLineChars="200"/>
        <w:jc w:val="left"/>
        <w:outlineLvl w:val="1"/>
        <w:rPr>
          <w:rFonts w:ascii="仿宋_GB2312" w:hAnsi="仿宋" w:eastAsia="仿宋_GB2312" w:cs="宋体"/>
          <w:kern w:val="0"/>
          <w:sz w:val="32"/>
          <w:szCs w:val="32"/>
        </w:rPr>
      </w:pPr>
      <w:bookmarkStart w:id="131" w:name="_Toc60900807"/>
      <w:bookmarkStart w:id="132" w:name="_Toc58938535"/>
      <w:bookmarkStart w:id="133" w:name="_Toc7998"/>
      <w:bookmarkStart w:id="134" w:name="_Toc59952121"/>
      <w:bookmarkStart w:id="135" w:name="_Toc10772"/>
      <w:bookmarkStart w:id="136" w:name="_Toc22288"/>
      <w:bookmarkStart w:id="137" w:name="_Toc59301481"/>
      <w:r>
        <w:rPr>
          <w:rFonts w:hint="eastAsia" w:ascii="仿宋_GB2312" w:hAnsi="仿宋" w:eastAsia="仿宋_GB2312" w:cs="宋体"/>
          <w:kern w:val="0"/>
          <w:sz w:val="32"/>
          <w:szCs w:val="32"/>
        </w:rPr>
        <w:t>坚持把</w:t>
      </w:r>
      <w:r>
        <w:rPr>
          <w:rFonts w:ascii="仿宋_GB2312" w:hAnsi="仿宋" w:eastAsia="仿宋_GB2312" w:cs="宋体"/>
          <w:kern w:val="0"/>
          <w:sz w:val="32"/>
          <w:szCs w:val="32"/>
        </w:rPr>
        <w:t>人民群众对美好生活的向往</w:t>
      </w:r>
      <w:r>
        <w:rPr>
          <w:rFonts w:hint="eastAsia" w:ascii="仿宋_GB2312" w:hAnsi="仿宋" w:eastAsia="仿宋_GB2312" w:cs="宋体"/>
          <w:kern w:val="0"/>
          <w:sz w:val="32"/>
          <w:szCs w:val="32"/>
        </w:rPr>
        <w:t>作为奋斗目标，立足“当今科教医养游”的要求</w:t>
      </w:r>
      <w:r>
        <w:rPr>
          <w:rFonts w:ascii="仿宋_GB2312" w:hAnsi="仿宋" w:eastAsia="仿宋_GB2312" w:cs="宋体"/>
          <w:kern w:val="0"/>
          <w:sz w:val="32"/>
          <w:szCs w:val="32"/>
        </w:rPr>
        <w:t>，</w:t>
      </w:r>
      <w:r>
        <w:rPr>
          <w:rFonts w:hint="eastAsia" w:ascii="仿宋_GB2312" w:hAnsi="仿宋" w:eastAsia="仿宋_GB2312" w:cs="宋体"/>
          <w:kern w:val="0"/>
          <w:sz w:val="32"/>
          <w:szCs w:val="32"/>
        </w:rPr>
        <w:t>着力加强对教育、医疗等资源配置，</w:t>
      </w:r>
      <w:r>
        <w:rPr>
          <w:rFonts w:ascii="仿宋_GB2312" w:hAnsi="仿宋" w:eastAsia="仿宋_GB2312" w:cs="宋体"/>
          <w:kern w:val="0"/>
          <w:sz w:val="32"/>
          <w:szCs w:val="32"/>
        </w:rPr>
        <w:t>着力解决群众最直接</w:t>
      </w:r>
      <w:r>
        <w:rPr>
          <w:rFonts w:hint="eastAsia" w:ascii="仿宋_GB2312" w:hAnsi="仿宋" w:eastAsia="仿宋_GB2312" w:cs="宋体"/>
          <w:kern w:val="0"/>
          <w:sz w:val="32"/>
          <w:szCs w:val="32"/>
        </w:rPr>
        <w:t>、</w:t>
      </w:r>
      <w:r>
        <w:rPr>
          <w:rFonts w:ascii="仿宋_GB2312" w:hAnsi="仿宋" w:eastAsia="仿宋_GB2312" w:cs="宋体"/>
          <w:kern w:val="0"/>
          <w:sz w:val="32"/>
          <w:szCs w:val="32"/>
        </w:rPr>
        <w:t>最关心</w:t>
      </w:r>
      <w:r>
        <w:rPr>
          <w:rFonts w:hint="eastAsia" w:ascii="仿宋_GB2312" w:hAnsi="仿宋" w:eastAsia="仿宋_GB2312" w:cs="宋体"/>
          <w:kern w:val="0"/>
          <w:sz w:val="32"/>
          <w:szCs w:val="32"/>
        </w:rPr>
        <w:t>、</w:t>
      </w:r>
      <w:r>
        <w:rPr>
          <w:rFonts w:ascii="仿宋_GB2312" w:hAnsi="仿宋" w:eastAsia="仿宋_GB2312" w:cs="宋体"/>
          <w:kern w:val="0"/>
          <w:sz w:val="32"/>
          <w:szCs w:val="32"/>
        </w:rPr>
        <w:t>最现实的利益问题，补齐民生短板</w:t>
      </w:r>
      <w:r>
        <w:rPr>
          <w:rFonts w:hint="eastAsia" w:ascii="仿宋_GB2312" w:hAnsi="仿宋" w:eastAsia="仿宋_GB2312" w:cs="宋体"/>
          <w:kern w:val="0"/>
          <w:sz w:val="32"/>
          <w:szCs w:val="32"/>
        </w:rPr>
        <w:t>，</w:t>
      </w:r>
      <w:r>
        <w:rPr>
          <w:rFonts w:ascii="仿宋_GB2312" w:hAnsi="仿宋" w:eastAsia="仿宋_GB2312" w:cs="宋体"/>
          <w:kern w:val="0"/>
          <w:sz w:val="32"/>
          <w:szCs w:val="32"/>
        </w:rPr>
        <w:t>切实增强人民群众的获得感</w:t>
      </w:r>
      <w:r>
        <w:rPr>
          <w:rFonts w:hint="eastAsia" w:ascii="仿宋_GB2312" w:hAnsi="仿宋" w:eastAsia="仿宋_GB2312" w:cs="宋体"/>
          <w:kern w:val="0"/>
          <w:sz w:val="32"/>
          <w:szCs w:val="32"/>
        </w:rPr>
        <w:t>、</w:t>
      </w:r>
      <w:r>
        <w:rPr>
          <w:rFonts w:ascii="仿宋_GB2312" w:hAnsi="仿宋" w:eastAsia="仿宋_GB2312" w:cs="宋体"/>
          <w:kern w:val="0"/>
          <w:sz w:val="32"/>
          <w:szCs w:val="32"/>
        </w:rPr>
        <w:t>幸福感和安全感</w:t>
      </w:r>
      <w:r>
        <w:rPr>
          <w:rFonts w:hint="eastAsia" w:ascii="仿宋_GB2312" w:hAnsi="仿宋" w:eastAsia="仿宋_GB2312" w:cs="宋体"/>
          <w:kern w:val="0"/>
          <w:sz w:val="32"/>
          <w:szCs w:val="32"/>
        </w:rPr>
        <w:t>。</w:t>
      </w:r>
      <w:bookmarkEnd w:id="131"/>
      <w:bookmarkEnd w:id="132"/>
      <w:bookmarkEnd w:id="133"/>
      <w:bookmarkEnd w:id="134"/>
      <w:bookmarkEnd w:id="135"/>
      <w:bookmarkEnd w:id="136"/>
      <w:bookmarkEnd w:id="137"/>
    </w:p>
    <w:p w14:paraId="20B74208">
      <w:pPr>
        <w:spacing w:line="560" w:lineRule="exact"/>
        <w:ind w:firstLine="643" w:firstLineChars="200"/>
        <w:jc w:val="center"/>
        <w:outlineLvl w:val="1"/>
        <w:rPr>
          <w:rFonts w:ascii="楷体" w:hAnsi="楷体" w:eastAsia="楷体" w:cs="楷体"/>
          <w:b/>
          <w:bCs/>
          <w:kern w:val="0"/>
          <w:sz w:val="32"/>
          <w:szCs w:val="32"/>
        </w:rPr>
      </w:pPr>
    </w:p>
    <w:p w14:paraId="72340862">
      <w:pPr>
        <w:spacing w:line="560" w:lineRule="exact"/>
        <w:ind w:firstLine="643" w:firstLineChars="200"/>
        <w:jc w:val="center"/>
        <w:outlineLvl w:val="1"/>
        <w:rPr>
          <w:rFonts w:ascii="楷体" w:hAnsi="楷体" w:eastAsia="楷体" w:cs="楷体"/>
          <w:b/>
          <w:bCs/>
          <w:kern w:val="0"/>
          <w:sz w:val="32"/>
          <w:szCs w:val="32"/>
        </w:rPr>
      </w:pPr>
      <w:bookmarkStart w:id="138" w:name="_Toc60900808"/>
      <w:r>
        <w:rPr>
          <w:rFonts w:hint="eastAsia" w:ascii="楷体" w:hAnsi="楷体" w:eastAsia="楷体" w:cs="楷体"/>
          <w:b/>
          <w:bCs/>
          <w:kern w:val="0"/>
          <w:sz w:val="32"/>
          <w:szCs w:val="32"/>
        </w:rPr>
        <w:t>第一节  优先发展教育事业</w:t>
      </w:r>
      <w:bookmarkEnd w:id="138"/>
    </w:p>
    <w:p w14:paraId="1B4D7E57">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仿宋"/>
          <w:bCs/>
          <w:kern w:val="0"/>
          <w:sz w:val="32"/>
          <w:szCs w:val="32"/>
        </w:rPr>
        <w:t>百年大计，教育为本。</w:t>
      </w:r>
      <w:r>
        <w:rPr>
          <w:rFonts w:hint="eastAsia" w:ascii="仿宋_GB2312" w:hAnsi="仿宋" w:eastAsia="仿宋_GB2312" w:cs="宋体"/>
          <w:kern w:val="0"/>
          <w:sz w:val="32"/>
          <w:szCs w:val="32"/>
        </w:rPr>
        <w:t>加快马城实验幼儿园、孝仪幼儿园等公办幼儿园建设，补齐农村地区幼儿教育短板，增强群众福祉。坚持义务教育均衡发展，投资20亿元，建成孝仪学校、田家炳学校等8所九年一贯制学校，总体规模达500余个教学班级，扩大优质教育资源覆盖面，</w:t>
      </w:r>
      <w:r>
        <w:rPr>
          <w:rFonts w:hint="eastAsia" w:ascii="仿宋_GB2312" w:hAnsi="仿宋" w:eastAsia="仿宋_GB2312" w:cs="Times New Roman"/>
          <w:sz w:val="32"/>
          <w:szCs w:val="32"/>
        </w:rPr>
        <w:t>实现义务教育质量进位，中考成绩“进阶”，力争创建一所省级示范高中。支持蚌埠七中、秀水实验学校与北师大附校等优质民办学校深度合作，</w:t>
      </w:r>
      <w:r>
        <w:rPr>
          <w:rFonts w:hint="eastAsia" w:ascii="仿宋_GB2312" w:hAnsi="仿宋" w:eastAsia="仿宋_GB2312" w:cs="宋体"/>
          <w:kern w:val="0"/>
          <w:sz w:val="32"/>
          <w:szCs w:val="32"/>
        </w:rPr>
        <w:t>持续推进优质品牌学校集团化办学，</w:t>
      </w:r>
      <w:r>
        <w:rPr>
          <w:rFonts w:eastAsia="仿宋_GB2312"/>
          <w:color w:val="000000"/>
          <w:sz w:val="32"/>
          <w:szCs w:val="32"/>
        </w:rPr>
        <w:t>加大智慧教育推广应用</w:t>
      </w:r>
      <w:r>
        <w:rPr>
          <w:rFonts w:hint="eastAsia" w:eastAsia="仿宋_GB2312"/>
          <w:color w:val="000000"/>
          <w:sz w:val="32"/>
          <w:szCs w:val="32"/>
        </w:rPr>
        <w:t>，</w:t>
      </w:r>
      <w:r>
        <w:rPr>
          <w:rFonts w:hint="eastAsia" w:ascii="仿宋_GB2312" w:hAnsi="仿宋" w:eastAsia="仿宋_GB2312" w:cs="宋体"/>
          <w:kern w:val="0"/>
          <w:sz w:val="32"/>
          <w:szCs w:val="32"/>
        </w:rPr>
        <w:t>为更多孩子提供优质教育。支持蚌埠工商学院增设教学专业，努力实现办学规模突破万人大关，创办一流高等院校。</w:t>
      </w:r>
      <w:r>
        <w:rPr>
          <w:rFonts w:hint="eastAsia" w:ascii="仿宋_GB2312" w:hAnsi="仿宋_GB2312" w:eastAsia="仿宋_GB2312" w:cs="仿宋_GB2312"/>
          <w:sz w:val="32"/>
          <w:szCs w:val="32"/>
        </w:rPr>
        <w:t>支持北师大附校打造办学规模一流、办学质量一流和独具特色的教育品牌。</w:t>
      </w:r>
    </w:p>
    <w:p w14:paraId="51E59B19">
      <w:pPr>
        <w:spacing w:line="560" w:lineRule="exact"/>
        <w:ind w:firstLine="643" w:firstLineChars="200"/>
        <w:jc w:val="center"/>
        <w:outlineLvl w:val="1"/>
        <w:rPr>
          <w:rFonts w:ascii="楷体" w:hAnsi="楷体" w:eastAsia="楷体" w:cs="楷体"/>
          <w:b/>
          <w:bCs/>
          <w:kern w:val="0"/>
          <w:sz w:val="32"/>
          <w:szCs w:val="32"/>
        </w:rPr>
      </w:pPr>
    </w:p>
    <w:p w14:paraId="062455A5">
      <w:pPr>
        <w:spacing w:line="560" w:lineRule="exact"/>
        <w:ind w:firstLine="643" w:firstLineChars="200"/>
        <w:jc w:val="center"/>
        <w:outlineLvl w:val="1"/>
        <w:rPr>
          <w:rFonts w:ascii="楷体" w:hAnsi="楷体" w:eastAsia="楷体" w:cs="楷体"/>
          <w:b/>
          <w:bCs/>
          <w:kern w:val="0"/>
          <w:sz w:val="32"/>
          <w:szCs w:val="32"/>
        </w:rPr>
      </w:pPr>
      <w:bookmarkStart w:id="139" w:name="_Toc60900809"/>
      <w:r>
        <w:rPr>
          <w:rFonts w:hint="eastAsia" w:ascii="楷体" w:hAnsi="楷体" w:eastAsia="楷体" w:cs="楷体"/>
          <w:b/>
          <w:bCs/>
          <w:kern w:val="0"/>
          <w:sz w:val="32"/>
          <w:szCs w:val="32"/>
        </w:rPr>
        <w:t>第二节  提升卫生健康工作水平</w:t>
      </w:r>
      <w:bookmarkEnd w:id="139"/>
    </w:p>
    <w:p w14:paraId="4FB343C4">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仿宋"/>
          <w:bCs/>
          <w:kern w:val="0"/>
          <w:sz w:val="32"/>
          <w:szCs w:val="32"/>
        </w:rPr>
        <w:t>持续巩固</w:t>
      </w:r>
      <w:r>
        <w:rPr>
          <w:rFonts w:hint="eastAsia" w:ascii="仿宋_GB2312" w:hAnsi="仿宋" w:eastAsia="仿宋_GB2312" w:cs="宋体"/>
          <w:kern w:val="0"/>
          <w:sz w:val="32"/>
          <w:szCs w:val="32"/>
        </w:rPr>
        <w:t>全国卫生城市和省级健康促进示范区创建成果，加强重大疾病联防联控</w:t>
      </w:r>
      <w:r>
        <w:rPr>
          <w:rFonts w:hint="eastAsia" w:ascii="仿宋_GB2312" w:hAnsi="仿宋" w:eastAsia="仿宋_GB2312" w:cs="Malgun Gothic Semilight"/>
          <w:kern w:val="0"/>
          <w:sz w:val="32"/>
          <w:szCs w:val="32"/>
        </w:rPr>
        <w:t>，</w:t>
      </w:r>
      <w:r>
        <w:rPr>
          <w:rFonts w:hint="eastAsia" w:ascii="仿宋_GB2312" w:hAnsi="仿宋" w:eastAsia="仿宋_GB2312" w:cs="宋体"/>
          <w:kern w:val="0"/>
          <w:sz w:val="32"/>
          <w:szCs w:val="32"/>
        </w:rPr>
        <w:t>加强传染病监测预警，持续做好新冠肺炎等重大疾病的防控监测检测工作</w:t>
      </w:r>
      <w:r>
        <w:rPr>
          <w:rFonts w:hint="eastAsia" w:ascii="仿宋_GB2312" w:hAnsi="仿宋" w:eastAsia="仿宋_GB2312" w:cs="Malgun Gothic Semilight"/>
          <w:kern w:val="0"/>
          <w:sz w:val="32"/>
          <w:szCs w:val="32"/>
        </w:rPr>
        <w:t>。支持第一人民医院与上海第十人民医院扩大合作，惠及更多珠城人民。禹会区人民医院投入使用，保障人民群众生命健康。</w:t>
      </w:r>
      <w:r>
        <w:rPr>
          <w:rFonts w:hint="eastAsia" w:ascii="仿宋_GB2312" w:hAnsi="仿宋" w:eastAsia="仿宋_GB2312" w:cs="宋体"/>
          <w:kern w:val="0"/>
          <w:sz w:val="32"/>
          <w:szCs w:val="32"/>
        </w:rPr>
        <w:t>推动建成皖北妇女儿童医院</w:t>
      </w:r>
      <w:r>
        <w:rPr>
          <w:rFonts w:hint="eastAsia" w:ascii="仿宋_GB2312" w:hAnsi="仿宋" w:eastAsia="仿宋_GB2312" w:cs="Malgun Gothic Semilight"/>
          <w:kern w:val="0"/>
          <w:sz w:val="32"/>
          <w:szCs w:val="32"/>
        </w:rPr>
        <w:t>，打造辐射皖北的优质妇儿医院，满足群众对优质医疗的期盼。完成</w:t>
      </w:r>
      <w:r>
        <w:rPr>
          <w:rFonts w:hint="eastAsia" w:ascii="仿宋_GB2312" w:hAnsi="仿宋" w:eastAsia="仿宋_GB2312" w:cs="宋体"/>
          <w:kern w:val="0"/>
          <w:sz w:val="32"/>
          <w:szCs w:val="32"/>
        </w:rPr>
        <w:t>基层医疗中心、孝仪医院等重点项目建设，提升社区卫生服务机构和村卫生室服务能力，全力打造</w:t>
      </w:r>
      <w:r>
        <w:rPr>
          <w:rFonts w:hint="eastAsia" w:ascii="仿宋_GB2312" w:hAnsi="仿宋" w:eastAsia="仿宋_GB2312" w:cs="Malgun Gothic Semilight"/>
          <w:kern w:val="0"/>
          <w:sz w:val="32"/>
          <w:szCs w:val="32"/>
        </w:rPr>
        <w:t>“</w:t>
      </w:r>
      <w:r>
        <w:rPr>
          <w:rFonts w:hint="eastAsia" w:ascii="仿宋_GB2312" w:hAnsi="仿宋" w:eastAsia="仿宋_GB2312" w:cs="宋体"/>
          <w:kern w:val="0"/>
          <w:sz w:val="32"/>
          <w:szCs w:val="32"/>
        </w:rPr>
        <w:t>健康禹会</w:t>
      </w:r>
      <w:r>
        <w:rPr>
          <w:rFonts w:hint="eastAsia" w:ascii="仿宋_GB2312" w:hAnsi="仿宋" w:eastAsia="仿宋_GB2312" w:cs="Malgun Gothic Semilight"/>
          <w:kern w:val="0"/>
          <w:sz w:val="32"/>
          <w:szCs w:val="32"/>
        </w:rPr>
        <w:t>”</w:t>
      </w:r>
      <w:r>
        <w:rPr>
          <w:rFonts w:hint="eastAsia" w:ascii="仿宋_GB2312" w:hAnsi="仿宋" w:eastAsia="仿宋_GB2312" w:cs="宋体"/>
          <w:kern w:val="0"/>
          <w:sz w:val="32"/>
          <w:szCs w:val="32"/>
        </w:rPr>
        <w:t>。到2025年</w:t>
      </w:r>
      <w:r>
        <w:rPr>
          <w:rFonts w:hint="eastAsia" w:ascii="仿宋_GB2312" w:hAnsi="仿宋" w:eastAsia="仿宋_GB2312" w:cs="Malgun Gothic Semilight"/>
          <w:kern w:val="0"/>
          <w:sz w:val="32"/>
          <w:szCs w:val="32"/>
        </w:rPr>
        <w:t>，</w:t>
      </w:r>
      <w:r>
        <w:rPr>
          <w:rFonts w:hint="eastAsia" w:ascii="仿宋_GB2312" w:hAnsi="仿宋" w:eastAsia="仿宋_GB2312" w:cs="宋体"/>
          <w:kern w:val="0"/>
          <w:sz w:val="32"/>
          <w:szCs w:val="32"/>
        </w:rPr>
        <w:t>辖区城乡居民主要健康指标高于全省平均水平</w:t>
      </w:r>
      <w:r>
        <w:rPr>
          <w:rFonts w:hint="eastAsia" w:ascii="仿宋_GB2312" w:hAnsi="仿宋" w:eastAsia="仿宋_GB2312" w:cs="Malgun Gothic Semilight"/>
          <w:kern w:val="0"/>
          <w:sz w:val="32"/>
          <w:szCs w:val="32"/>
        </w:rPr>
        <w:t>。</w:t>
      </w:r>
    </w:p>
    <w:p w14:paraId="4288060A">
      <w:pPr>
        <w:spacing w:line="560" w:lineRule="exact"/>
        <w:ind w:firstLine="643" w:firstLineChars="200"/>
        <w:jc w:val="center"/>
        <w:outlineLvl w:val="1"/>
        <w:rPr>
          <w:rFonts w:ascii="楷体" w:hAnsi="楷体" w:eastAsia="楷体" w:cs="楷体"/>
          <w:b/>
          <w:bCs/>
          <w:kern w:val="0"/>
          <w:sz w:val="32"/>
          <w:szCs w:val="32"/>
        </w:rPr>
      </w:pPr>
    </w:p>
    <w:p w14:paraId="31DEE495">
      <w:pPr>
        <w:spacing w:line="560" w:lineRule="exact"/>
        <w:ind w:firstLine="643" w:firstLineChars="200"/>
        <w:jc w:val="center"/>
        <w:outlineLvl w:val="1"/>
        <w:rPr>
          <w:rFonts w:ascii="楷体" w:hAnsi="楷体" w:eastAsia="楷体" w:cs="楷体"/>
          <w:b/>
          <w:bCs/>
          <w:kern w:val="0"/>
          <w:sz w:val="32"/>
          <w:szCs w:val="32"/>
        </w:rPr>
      </w:pPr>
      <w:bookmarkStart w:id="140" w:name="_Toc60900810"/>
      <w:r>
        <w:rPr>
          <w:rFonts w:hint="eastAsia" w:ascii="楷体" w:hAnsi="楷体" w:eastAsia="楷体" w:cs="楷体"/>
          <w:b/>
          <w:bCs/>
          <w:kern w:val="0"/>
          <w:sz w:val="32"/>
          <w:szCs w:val="32"/>
        </w:rPr>
        <w:t>第三节  健全社会保障体系</w:t>
      </w:r>
      <w:bookmarkEnd w:id="140"/>
    </w:p>
    <w:p w14:paraId="6AE77C66">
      <w:pPr>
        <w:spacing w:line="560" w:lineRule="exact"/>
        <w:ind w:firstLine="640" w:firstLineChars="200"/>
        <w:rPr>
          <w:rFonts w:ascii="仿宋_GB2312" w:hAnsi="仿宋" w:eastAsia="仿宋_GB2312" w:cs="宋体"/>
          <w:kern w:val="0"/>
          <w:sz w:val="32"/>
          <w:szCs w:val="32"/>
        </w:rPr>
      </w:pPr>
      <w:r>
        <w:rPr>
          <w:rFonts w:hint="eastAsia" w:ascii="仿宋_GB2312" w:eastAsia="仿宋_GB2312"/>
          <w:sz w:val="32"/>
          <w:szCs w:val="32"/>
        </w:rPr>
        <w:t>深化“三社联动”长效机制，加快智慧社区建设，构建“网络化+网格化”基层社会治理</w:t>
      </w:r>
      <w:r>
        <w:rPr>
          <w:rFonts w:eastAsia="仿宋_GB2312"/>
          <w:color w:val="000000"/>
          <w:sz w:val="32"/>
          <w:szCs w:val="32"/>
        </w:rPr>
        <w:t>模式升级版。</w:t>
      </w:r>
      <w:r>
        <w:rPr>
          <w:rFonts w:hint="eastAsia" w:ascii="仿宋_GB2312" w:hAnsi="仿宋_GB2312" w:eastAsia="仿宋_GB2312" w:cs="仿宋_GB2312"/>
          <w:sz w:val="32"/>
          <w:szCs w:val="32"/>
        </w:rPr>
        <w:t>支持社会力量兴办养老院，构建与社区养老、居家养老体系相互支撑的新型养老体系。</w:t>
      </w:r>
      <w:r>
        <w:rPr>
          <w:rFonts w:hint="eastAsia" w:ascii="仿宋_GB2312" w:hAnsi="仿宋" w:eastAsia="仿宋_GB2312" w:cs="宋体"/>
          <w:kern w:val="0"/>
          <w:sz w:val="32"/>
          <w:szCs w:val="32"/>
        </w:rPr>
        <w:t>积极做好就业工作，多渠道开发就业岗位，做好高校毕业生、农民工、退役军人等重点群体就业工作，实现稳定就业增加收入，提升幸福指数。“十四五”期间，力争新增就业3.5万人，就业创业培训1万人次，城镇登记失业率控制在3.8%以内。</w:t>
      </w:r>
      <w:r>
        <w:rPr>
          <w:rFonts w:hint="eastAsia" w:ascii="仿宋_GB2312" w:hAnsi="仿宋" w:eastAsia="仿宋_GB2312" w:cs="宋体"/>
          <w:bCs/>
          <w:kern w:val="0"/>
          <w:sz w:val="32"/>
          <w:szCs w:val="32"/>
        </w:rPr>
        <w:t>严格执行国家、省、市基本养老金调整政策，到2025年末，符合条件的城乡居民基本养老保险参保率达到100%。</w:t>
      </w:r>
      <w:r>
        <w:rPr>
          <w:rFonts w:hint="eastAsia" w:ascii="仿宋_GB2312" w:hAnsi="仿宋" w:eastAsia="仿宋_GB2312" w:cs="宋体"/>
          <w:kern w:val="0"/>
          <w:sz w:val="32"/>
          <w:szCs w:val="32"/>
        </w:rPr>
        <w:t>加大对因病致贫、失独家庭等特殊群体的关怀和帮助，优化医疗、教育、就业等救助方式，让更多的群众过上幸福生活。</w:t>
      </w:r>
    </w:p>
    <w:p w14:paraId="41614E64">
      <w:pPr>
        <w:spacing w:line="560" w:lineRule="exact"/>
        <w:ind w:firstLine="643" w:firstLineChars="200"/>
        <w:jc w:val="center"/>
        <w:outlineLvl w:val="1"/>
        <w:rPr>
          <w:rFonts w:ascii="楷体" w:hAnsi="楷体" w:eastAsia="楷体" w:cs="楷体"/>
          <w:b/>
          <w:bCs/>
          <w:kern w:val="0"/>
          <w:sz w:val="32"/>
          <w:szCs w:val="32"/>
        </w:rPr>
      </w:pPr>
      <w:bookmarkStart w:id="141" w:name="_Toc28262"/>
      <w:bookmarkStart w:id="142" w:name="_Toc22488"/>
      <w:bookmarkStart w:id="143" w:name="_Toc58081158"/>
    </w:p>
    <w:p w14:paraId="2A66206D">
      <w:pPr>
        <w:spacing w:line="560" w:lineRule="exact"/>
        <w:ind w:firstLine="643" w:firstLineChars="200"/>
        <w:jc w:val="center"/>
        <w:outlineLvl w:val="1"/>
        <w:rPr>
          <w:rFonts w:ascii="楷体" w:hAnsi="楷体" w:eastAsia="楷体" w:cs="楷体"/>
          <w:b/>
          <w:bCs/>
          <w:kern w:val="0"/>
          <w:sz w:val="32"/>
          <w:szCs w:val="32"/>
        </w:rPr>
      </w:pPr>
      <w:bookmarkStart w:id="144" w:name="_Toc60900811"/>
      <w:r>
        <w:rPr>
          <w:rFonts w:hint="eastAsia" w:ascii="楷体" w:hAnsi="楷体" w:eastAsia="楷体" w:cs="楷体"/>
          <w:b/>
          <w:bCs/>
          <w:kern w:val="0"/>
          <w:sz w:val="32"/>
          <w:szCs w:val="32"/>
        </w:rPr>
        <w:t>第四节  协同其他社会事业发展</w:t>
      </w:r>
      <w:bookmarkEnd w:id="144"/>
    </w:p>
    <w:p w14:paraId="04571160">
      <w:pPr>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深入开展双拥共建，推动军民融合高质量发展。以人民群众为中心，维护妇女儿童合法权益，</w:t>
      </w:r>
      <w:r>
        <w:rPr>
          <w:rFonts w:hint="eastAsia" w:ascii="仿宋_GB2312" w:hAnsi="仿宋" w:eastAsia="仿宋_GB2312" w:cs="仿宋"/>
          <w:sz w:val="32"/>
          <w:szCs w:val="32"/>
        </w:rPr>
        <w:t>完善农村留守儿童关爱保护体系</w:t>
      </w:r>
      <w:r>
        <w:rPr>
          <w:rFonts w:hint="eastAsia" w:ascii="仿宋_GB2312" w:hAnsi="仿宋" w:eastAsia="仿宋_GB2312" w:cs="宋体"/>
          <w:kern w:val="0"/>
          <w:sz w:val="32"/>
          <w:szCs w:val="32"/>
        </w:rPr>
        <w:t>。推进科技馆项目建设工作，多渠道开展科普工作。全方位引领、服务青少年成长，维护其合法权益，为青少年营造安全、健康、积极向上的成长环境。团结、激励残疾人，帮助特殊群体创造幸福生活。进一步推进工会、统计、气象；对台、港澳、外事侨务、民族宗教；慈善、地震、人防；档案、文史、地方志等事业协调发展。</w:t>
      </w:r>
      <w:bookmarkEnd w:id="141"/>
      <w:bookmarkEnd w:id="142"/>
      <w:bookmarkEnd w:id="143"/>
      <w:r>
        <w:rPr>
          <w:rFonts w:hint="eastAsia" w:ascii="仿宋_GB2312" w:hAnsi="仿宋" w:eastAsia="仿宋_GB2312" w:cs="宋体"/>
          <w:kern w:val="0"/>
          <w:sz w:val="32"/>
          <w:szCs w:val="32"/>
        </w:rPr>
        <w:t>坚持效率与公平兼顾，推进改革发展成果更多更公平地惠及广大人民，建设更具获得感的幸福禹会。</w:t>
      </w:r>
    </w:p>
    <w:p w14:paraId="4CB750E5">
      <w:pPr>
        <w:adjustRightInd w:val="0"/>
        <w:snapToGrid w:val="0"/>
        <w:spacing w:line="560" w:lineRule="exact"/>
        <w:ind w:firstLine="640" w:firstLineChars="200"/>
        <w:rPr>
          <w:rFonts w:ascii="仿宋_GB2312" w:hAnsi="仿宋" w:eastAsia="仿宋_GB2312" w:cs="宋体"/>
          <w:kern w:val="0"/>
          <w:sz w:val="32"/>
          <w:szCs w:val="32"/>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5"/>
      </w:tblGrid>
      <w:tr w14:paraId="6BB0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5" w:type="dxa"/>
          </w:tcPr>
          <w:p w14:paraId="26323959">
            <w:pPr>
              <w:adjustRightInd w:val="0"/>
              <w:snapToGrid w:val="0"/>
              <w:spacing w:line="480" w:lineRule="exact"/>
              <w:jc w:val="center"/>
              <w:rPr>
                <w:rFonts w:ascii="黑体" w:hAnsi="黑体" w:eastAsia="黑体" w:cs="Times New Roman"/>
                <w:sz w:val="28"/>
                <w:szCs w:val="28"/>
              </w:rPr>
            </w:pPr>
            <w:r>
              <w:rPr>
                <w:rFonts w:hint="eastAsia" w:ascii="黑体" w:hAnsi="黑体" w:eastAsia="黑体" w:cs="Times New Roman"/>
                <w:sz w:val="28"/>
                <w:szCs w:val="28"/>
              </w:rPr>
              <w:t>专栏14：社会事业重点项目</w:t>
            </w:r>
          </w:p>
          <w:p w14:paraId="58444047">
            <w:pPr>
              <w:adjustRightInd w:val="0"/>
              <w:snapToGrid w:val="0"/>
              <w:spacing w:line="480" w:lineRule="exact"/>
              <w:ind w:firstLine="560" w:firstLineChars="200"/>
              <w:rPr>
                <w:rFonts w:ascii="仿宋_GB2312" w:hAnsi="黑体" w:eastAsia="仿宋_GB2312" w:cs="Times New Roman"/>
                <w:sz w:val="28"/>
                <w:szCs w:val="28"/>
              </w:rPr>
            </w:pPr>
            <w:r>
              <w:rPr>
                <w:rFonts w:hint="eastAsia" w:ascii="仿宋_GB2312" w:hAnsi="黑体" w:eastAsia="仿宋_GB2312" w:cs="Times New Roman"/>
                <w:sz w:val="28"/>
                <w:szCs w:val="28"/>
              </w:rPr>
              <w:t>【</w:t>
            </w:r>
            <w:r>
              <w:rPr>
                <w:rFonts w:hint="eastAsia" w:ascii="仿宋_GB2312" w:hAnsi="黑体" w:eastAsia="仿宋_GB2312" w:cs="Times New Roman"/>
                <w:b/>
                <w:sz w:val="28"/>
                <w:szCs w:val="28"/>
              </w:rPr>
              <w:t>教育事业重点项目</w:t>
            </w:r>
            <w:r>
              <w:rPr>
                <w:rFonts w:hint="eastAsia" w:ascii="仿宋_GB2312" w:hAnsi="黑体" w:eastAsia="仿宋_GB2312" w:cs="Times New Roman"/>
                <w:sz w:val="28"/>
                <w:szCs w:val="28"/>
              </w:rPr>
              <w:t>】</w:t>
            </w:r>
          </w:p>
          <w:p w14:paraId="2E2CC36E">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蚌埠工商学院二期项目。</w:t>
            </w:r>
            <w:r>
              <w:rPr>
                <w:rFonts w:hint="eastAsia" w:ascii="仿宋_GB2312" w:hAnsi="仿宋" w:eastAsia="仿宋_GB2312" w:cs="Times New Roman"/>
                <w:sz w:val="28"/>
                <w:szCs w:val="28"/>
              </w:rPr>
              <w:t>主要建设教学楼、图书馆、宿舍等，增设专业，扩大办学规模，为社会输送更多人才。</w:t>
            </w:r>
          </w:p>
          <w:p w14:paraId="03712C0D">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bCs/>
                <w:sz w:val="28"/>
                <w:szCs w:val="28"/>
              </w:rPr>
              <w:t>蚌埠市大庆学校。</w:t>
            </w:r>
            <w:r>
              <w:rPr>
                <w:rFonts w:hint="eastAsia" w:ascii="仿宋_GB2312" w:hAnsi="仿宋" w:eastAsia="仿宋_GB2312" w:cs="Times New Roman"/>
                <w:sz w:val="28"/>
                <w:szCs w:val="28"/>
              </w:rPr>
              <w:t>办学规模为66个班级，小学部为24个班；中学部为42个班，招生规模约3000人，提升区域教学环境。</w:t>
            </w:r>
          </w:p>
          <w:p w14:paraId="62A937DE">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淮海小学建设项目。</w:t>
            </w:r>
            <w:r>
              <w:rPr>
                <w:rFonts w:hint="eastAsia" w:ascii="仿宋_GB2312" w:hAnsi="仿宋" w:eastAsia="仿宋_GB2312" w:cs="Times New Roman"/>
                <w:sz w:val="28"/>
                <w:szCs w:val="28"/>
              </w:rPr>
              <w:t>办学规模为30个班级，招生规模约1300人，解决周边群众子女入学问题。</w:t>
            </w:r>
          </w:p>
          <w:p w14:paraId="32FE29B1">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朝阳实验学校（七中改扩建）项目。</w:t>
            </w:r>
            <w:r>
              <w:rPr>
                <w:rFonts w:hint="eastAsia" w:ascii="仿宋_GB2312" w:hAnsi="仿宋" w:eastAsia="仿宋_GB2312" w:cs="Times New Roman"/>
                <w:sz w:val="28"/>
                <w:szCs w:val="28"/>
              </w:rPr>
              <w:t>办学规模54个班级，招生规模约2500人，改善办学条件。</w:t>
            </w:r>
          </w:p>
          <w:p w14:paraId="54902EEC">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bCs/>
                <w:sz w:val="28"/>
                <w:szCs w:val="28"/>
              </w:rPr>
              <w:t>田家炳中学。</w:t>
            </w:r>
            <w:r>
              <w:rPr>
                <w:rFonts w:hint="eastAsia" w:ascii="仿宋_GB2312" w:hAnsi="仿宋" w:eastAsia="仿宋_GB2312" w:cs="Times New Roman"/>
                <w:sz w:val="28"/>
                <w:szCs w:val="28"/>
              </w:rPr>
              <w:t>与大庆路小学组建九年一贯制学校，组建初中部和小学部共48个班，招生规模约2000人，提升区域办学水平。</w:t>
            </w:r>
          </w:p>
          <w:p w14:paraId="5122B17B">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秀水实验学校建设项目。</w:t>
            </w:r>
            <w:r>
              <w:rPr>
                <w:rFonts w:hint="eastAsia" w:ascii="仿宋_GB2312" w:hAnsi="仿宋" w:eastAsia="仿宋_GB2312" w:cs="Times New Roman"/>
                <w:sz w:val="28"/>
                <w:szCs w:val="28"/>
              </w:rPr>
              <w:t>建设九年一贯制学校，规划建设48个班级，招生规模约2000人，满足周边居民子女就学需要。</w:t>
            </w:r>
          </w:p>
          <w:p w14:paraId="5F2E906A">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禹会区涂山学校项目。</w:t>
            </w:r>
            <w:r>
              <w:rPr>
                <w:rFonts w:hint="eastAsia" w:ascii="仿宋_GB2312" w:hAnsi="仿宋" w:eastAsia="仿宋_GB2312" w:cs="Times New Roman"/>
                <w:sz w:val="28"/>
                <w:szCs w:val="28"/>
              </w:rPr>
              <w:t>建设九年一贯制学校，总规模为54个班级，招生规模约2500人，满足周边居民子女就学需要。</w:t>
            </w:r>
          </w:p>
          <w:p w14:paraId="0FB740DB">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孝仪九年一贯制学校。</w:t>
            </w:r>
            <w:r>
              <w:rPr>
                <w:rFonts w:hint="eastAsia" w:ascii="仿宋_GB2312" w:hAnsi="仿宋" w:eastAsia="仿宋_GB2312" w:cs="Times New Roman"/>
                <w:sz w:val="28"/>
                <w:szCs w:val="28"/>
              </w:rPr>
              <w:t>将孝仪中学、新建小学部合并组建成新的九年一贯制学校，总规模为54个班级，招生规模约2500人，改善农村地区教育教学环境。</w:t>
            </w:r>
          </w:p>
          <w:p w14:paraId="1DEF2603">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禹会体育馆建设项目。</w:t>
            </w:r>
            <w:r>
              <w:rPr>
                <w:rFonts w:hint="eastAsia" w:ascii="仿宋_GB2312" w:hAnsi="仿宋" w:eastAsia="仿宋_GB2312" w:cs="Times New Roman"/>
                <w:sz w:val="28"/>
                <w:szCs w:val="28"/>
              </w:rPr>
              <w:t>建设拥有400米标准跑道体育场、11人制标准足球场、3000座规模体育馆以及8个泳道的游泳馆各一座，满足群众运动健身需求。</w:t>
            </w:r>
          </w:p>
          <w:p w14:paraId="186D5CAB">
            <w:pPr>
              <w:adjustRightInd w:val="0"/>
              <w:snapToGrid w:val="0"/>
              <w:spacing w:line="480" w:lineRule="exact"/>
              <w:ind w:firstLine="560" w:firstLineChars="200"/>
              <w:rPr>
                <w:rFonts w:ascii="仿宋_GB2312" w:hAnsi="黑体" w:eastAsia="仿宋_GB2312" w:cs="Times New Roman"/>
                <w:sz w:val="28"/>
                <w:szCs w:val="28"/>
              </w:rPr>
            </w:pPr>
            <w:r>
              <w:rPr>
                <w:rFonts w:hint="eastAsia" w:ascii="仿宋_GB2312" w:hAnsi="黑体" w:eastAsia="仿宋_GB2312" w:cs="Times New Roman"/>
                <w:sz w:val="28"/>
                <w:szCs w:val="28"/>
              </w:rPr>
              <w:t>【</w:t>
            </w:r>
            <w:r>
              <w:rPr>
                <w:rFonts w:hint="eastAsia" w:ascii="仿宋_GB2312" w:hAnsi="黑体" w:eastAsia="仿宋_GB2312" w:cs="Times New Roman"/>
                <w:b/>
                <w:sz w:val="28"/>
                <w:szCs w:val="28"/>
              </w:rPr>
              <w:t>卫生事业重点项目</w:t>
            </w:r>
            <w:r>
              <w:rPr>
                <w:rFonts w:hint="eastAsia" w:ascii="仿宋_GB2312" w:hAnsi="黑体" w:eastAsia="仿宋_GB2312" w:cs="Times New Roman"/>
                <w:sz w:val="28"/>
                <w:szCs w:val="28"/>
              </w:rPr>
              <w:t>】</w:t>
            </w:r>
          </w:p>
          <w:p w14:paraId="19E62A55">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蚌埠市第一人民医院综合病房大楼项目。</w:t>
            </w:r>
            <w:r>
              <w:rPr>
                <w:rFonts w:hint="eastAsia" w:ascii="仿宋_GB2312" w:hAnsi="仿宋" w:eastAsia="仿宋_GB2312" w:cs="Times New Roman"/>
                <w:sz w:val="28"/>
                <w:szCs w:val="28"/>
              </w:rPr>
              <w:t>新建综合病房大楼，总建筑面积8.3万平方米，设置床位1000张。</w:t>
            </w:r>
          </w:p>
          <w:p w14:paraId="3296CA2C">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禹会区公共卫生服务中心项目。</w:t>
            </w:r>
            <w:r>
              <w:rPr>
                <w:rFonts w:hint="eastAsia" w:ascii="仿宋_GB2312" w:hAnsi="仿宋" w:eastAsia="仿宋_GB2312" w:cs="Times New Roman"/>
                <w:sz w:val="28"/>
                <w:szCs w:val="28"/>
              </w:rPr>
              <w:t>总建筑面积1.6万平方米，主要建设疾控中心、妇计中心、急救中心等。</w:t>
            </w:r>
          </w:p>
          <w:p w14:paraId="3C8DB0C2">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马城镇中心卫生院孝仪分院项目。</w:t>
            </w:r>
            <w:r>
              <w:rPr>
                <w:rFonts w:hint="eastAsia" w:ascii="仿宋_GB2312" w:hAnsi="仿宋" w:eastAsia="仿宋_GB2312" w:cs="Times New Roman"/>
                <w:sz w:val="28"/>
                <w:szCs w:val="28"/>
              </w:rPr>
              <w:t>主要建设业务用房，购置医疗设备。</w:t>
            </w:r>
          </w:p>
          <w:p w14:paraId="5116B769">
            <w:pPr>
              <w:adjustRightInd w:val="0"/>
              <w:snapToGrid w:val="0"/>
              <w:spacing w:line="480" w:lineRule="exact"/>
              <w:ind w:firstLine="562" w:firstLineChars="200"/>
              <w:rPr>
                <w:rFonts w:ascii="仿宋_GB2312" w:hAnsi="仿宋" w:eastAsia="仿宋_GB2312" w:cs="Times New Roman"/>
                <w:sz w:val="28"/>
                <w:szCs w:val="28"/>
              </w:rPr>
            </w:pPr>
            <w:r>
              <w:rPr>
                <w:rFonts w:hint="eastAsia" w:ascii="仿宋_GB2312" w:hAnsi="仿宋" w:eastAsia="仿宋_GB2312" w:cs="Times New Roman"/>
                <w:b/>
                <w:sz w:val="28"/>
                <w:szCs w:val="28"/>
              </w:rPr>
              <w:t>第四人民医院项目。</w:t>
            </w:r>
            <w:r>
              <w:rPr>
                <w:rFonts w:hint="eastAsia" w:ascii="仿宋_GB2312" w:hAnsi="仿宋" w:eastAsia="仿宋_GB2312" w:cs="Times New Roman"/>
                <w:sz w:val="28"/>
                <w:szCs w:val="28"/>
              </w:rPr>
              <w:t>总建筑面积约7万平方米，建设二级甲等综合医院，三级甲等康复专科。</w:t>
            </w:r>
          </w:p>
          <w:p w14:paraId="6FBE1322">
            <w:pPr>
              <w:adjustRightInd w:val="0"/>
              <w:snapToGrid w:val="0"/>
              <w:spacing w:line="480" w:lineRule="exact"/>
              <w:ind w:firstLine="560" w:firstLineChars="200"/>
              <w:rPr>
                <w:rFonts w:ascii="仿宋_GB2312" w:hAnsi="黑体" w:eastAsia="仿宋_GB2312" w:cs="Times New Roman"/>
                <w:sz w:val="28"/>
                <w:szCs w:val="28"/>
              </w:rPr>
            </w:pPr>
            <w:r>
              <w:rPr>
                <w:rFonts w:hint="eastAsia" w:ascii="仿宋_GB2312" w:hAnsi="黑体" w:eastAsia="仿宋_GB2312" w:cs="Times New Roman"/>
                <w:sz w:val="28"/>
                <w:szCs w:val="28"/>
              </w:rPr>
              <w:t>【</w:t>
            </w:r>
            <w:r>
              <w:rPr>
                <w:rFonts w:hint="eastAsia" w:ascii="仿宋_GB2312" w:hAnsi="黑体" w:eastAsia="仿宋_GB2312" w:cs="Times New Roman"/>
                <w:b/>
                <w:sz w:val="28"/>
                <w:szCs w:val="28"/>
              </w:rPr>
              <w:t>社会事业重点项目</w:t>
            </w:r>
            <w:r>
              <w:rPr>
                <w:rFonts w:hint="eastAsia" w:ascii="仿宋_GB2312" w:hAnsi="黑体" w:eastAsia="仿宋_GB2312" w:cs="Times New Roman"/>
                <w:sz w:val="28"/>
                <w:szCs w:val="28"/>
              </w:rPr>
              <w:t>】</w:t>
            </w:r>
          </w:p>
          <w:p w14:paraId="2ACA1A22">
            <w:pPr>
              <w:spacing w:line="480" w:lineRule="exact"/>
              <w:ind w:firstLine="562" w:firstLineChars="200"/>
              <w:jc w:val="left"/>
              <w:rPr>
                <w:rFonts w:ascii="仿宋_GB2312" w:hAnsi="仿宋" w:eastAsia="仿宋_GB2312" w:cs="Times New Roman"/>
                <w:sz w:val="28"/>
                <w:szCs w:val="28"/>
              </w:rPr>
            </w:pPr>
            <w:r>
              <w:rPr>
                <w:rFonts w:hint="eastAsia" w:ascii="仿宋_GB2312" w:hAnsi="仿宋" w:eastAsia="仿宋_GB2312" w:cs="Times New Roman"/>
                <w:b/>
                <w:sz w:val="28"/>
                <w:szCs w:val="28"/>
              </w:rPr>
              <w:t>高端养老示范园项目。</w:t>
            </w:r>
            <w:r>
              <w:rPr>
                <w:rFonts w:hint="eastAsia" w:ascii="仿宋_GB2312" w:hAnsi="仿宋" w:eastAsia="仿宋_GB2312" w:cs="Times New Roman"/>
                <w:sz w:val="28"/>
                <w:szCs w:val="28"/>
              </w:rPr>
              <w:t>项目位于涂山风景区黑虎山南麓，建设老年公寓、社会救助站和社会儿童福利院。</w:t>
            </w:r>
          </w:p>
          <w:p w14:paraId="5D8869DB">
            <w:pPr>
              <w:spacing w:line="480" w:lineRule="exact"/>
              <w:ind w:firstLine="562" w:firstLineChars="200"/>
              <w:jc w:val="left"/>
              <w:rPr>
                <w:rFonts w:ascii="仿宋_GB2312" w:hAnsi="仿宋" w:eastAsia="仿宋_GB2312" w:cs="Times New Roman"/>
                <w:sz w:val="28"/>
                <w:szCs w:val="28"/>
              </w:rPr>
            </w:pPr>
            <w:r>
              <w:rPr>
                <w:rFonts w:hint="eastAsia" w:ascii="仿宋_GB2312" w:hAnsi="仿宋" w:eastAsia="仿宋_GB2312" w:cs="Times New Roman"/>
                <w:b/>
                <w:sz w:val="28"/>
                <w:szCs w:val="28"/>
              </w:rPr>
              <w:t>“三级”养老服务中心。</w:t>
            </w:r>
            <w:r>
              <w:rPr>
                <w:rFonts w:hint="eastAsia" w:ascii="仿宋_GB2312" w:hAnsi="仿宋" w:eastAsia="仿宋_GB2312" w:cs="Times New Roman"/>
                <w:sz w:val="28"/>
                <w:szCs w:val="28"/>
              </w:rPr>
              <w:t>项目主要为辖区老年人提供居家养老服务，包括休闲娱乐、助餐助浴、日常保健、心理咨询、康复健身等。</w:t>
            </w:r>
          </w:p>
          <w:p w14:paraId="459CC7BA">
            <w:pPr>
              <w:spacing w:line="480" w:lineRule="exact"/>
              <w:ind w:firstLine="562" w:firstLineChars="200"/>
              <w:jc w:val="left"/>
              <w:rPr>
                <w:rFonts w:ascii="仿宋_GB2312" w:hAnsi="仿宋" w:eastAsia="仿宋_GB2312" w:cs="Times New Roman"/>
                <w:sz w:val="28"/>
                <w:szCs w:val="28"/>
              </w:rPr>
            </w:pPr>
            <w:r>
              <w:rPr>
                <w:rFonts w:hint="eastAsia" w:ascii="仿宋_GB2312" w:hAnsi="仿宋" w:eastAsia="仿宋_GB2312" w:cs="Times New Roman"/>
                <w:b/>
                <w:sz w:val="28"/>
                <w:szCs w:val="28"/>
              </w:rPr>
              <w:t>应急指挥中心（含救灾物资储备库）项目。</w:t>
            </w:r>
            <w:r>
              <w:rPr>
                <w:rFonts w:hint="eastAsia" w:ascii="仿宋_GB2312" w:hAnsi="仿宋" w:eastAsia="仿宋_GB2312" w:cs="Times New Roman"/>
                <w:sz w:val="28"/>
                <w:szCs w:val="28"/>
              </w:rPr>
              <w:t>建筑面积1000平方米，建设禹会区应急指挥中心、救灾物资储备库，储备救灾物资。</w:t>
            </w:r>
          </w:p>
          <w:p w14:paraId="7461522D">
            <w:pPr>
              <w:spacing w:line="480" w:lineRule="exact"/>
              <w:ind w:firstLine="562" w:firstLineChars="200"/>
              <w:jc w:val="left"/>
              <w:rPr>
                <w:rFonts w:ascii="仿宋_GB2312" w:hAnsi="仿宋" w:eastAsia="仿宋_GB2312" w:cs="Times New Roman"/>
                <w:sz w:val="28"/>
                <w:szCs w:val="28"/>
              </w:rPr>
            </w:pPr>
            <w:r>
              <w:rPr>
                <w:rFonts w:hint="eastAsia" w:ascii="仿宋_GB2312" w:hAnsi="仿宋" w:eastAsia="仿宋_GB2312" w:cs="Times New Roman"/>
                <w:b/>
                <w:sz w:val="28"/>
                <w:szCs w:val="28"/>
              </w:rPr>
              <w:t>黑虎山应急避难场所项目。</w:t>
            </w:r>
            <w:r>
              <w:rPr>
                <w:rFonts w:hint="eastAsia" w:ascii="仿宋_GB2312" w:hAnsi="仿宋" w:eastAsia="仿宋_GB2312" w:cs="Times New Roman"/>
                <w:sz w:val="28"/>
                <w:szCs w:val="28"/>
              </w:rPr>
              <w:t>建设应急避难生活服务设施场地和建筑。</w:t>
            </w:r>
          </w:p>
        </w:tc>
      </w:tr>
    </w:tbl>
    <w:p w14:paraId="723A2073">
      <w:pPr>
        <w:autoSpaceDE w:val="0"/>
        <w:autoSpaceDN w:val="0"/>
        <w:adjustRightInd w:val="0"/>
        <w:snapToGrid w:val="0"/>
        <w:spacing w:line="560" w:lineRule="exact"/>
        <w:ind w:firstLine="643" w:firstLineChars="200"/>
        <w:outlineLvl w:val="0"/>
        <w:rPr>
          <w:rFonts w:ascii="黑体" w:hAnsi="黑体" w:eastAsia="黑体" w:cs="黑体"/>
          <w:b/>
          <w:kern w:val="0"/>
          <w:sz w:val="32"/>
          <w:szCs w:val="32"/>
        </w:rPr>
      </w:pPr>
    </w:p>
    <w:p w14:paraId="38CE81EB">
      <w:pPr>
        <w:widowControl/>
        <w:jc w:val="left"/>
        <w:rPr>
          <w:rFonts w:ascii="黑体" w:hAnsi="黑体" w:eastAsia="黑体" w:cs="黑体"/>
          <w:b/>
          <w:kern w:val="0"/>
          <w:sz w:val="32"/>
          <w:szCs w:val="32"/>
        </w:rPr>
      </w:pPr>
      <w:r>
        <w:rPr>
          <w:rFonts w:ascii="黑体" w:hAnsi="黑体" w:eastAsia="黑体" w:cs="黑体"/>
          <w:b/>
          <w:kern w:val="0"/>
          <w:sz w:val="32"/>
          <w:szCs w:val="32"/>
        </w:rPr>
        <w:br w:type="page"/>
      </w:r>
    </w:p>
    <w:p w14:paraId="4CCAE38B">
      <w:pPr>
        <w:autoSpaceDE w:val="0"/>
        <w:autoSpaceDN w:val="0"/>
        <w:adjustRightInd w:val="0"/>
        <w:snapToGrid w:val="0"/>
        <w:spacing w:line="560" w:lineRule="exact"/>
        <w:ind w:firstLine="643" w:firstLineChars="200"/>
        <w:outlineLvl w:val="0"/>
        <w:rPr>
          <w:rFonts w:ascii="黑体" w:hAnsi="黑体" w:eastAsia="黑体" w:cs="黑体"/>
          <w:b/>
          <w:kern w:val="0"/>
          <w:sz w:val="32"/>
          <w:szCs w:val="32"/>
        </w:rPr>
      </w:pPr>
      <w:bookmarkStart w:id="145" w:name="_Toc60900812"/>
      <w:r>
        <w:rPr>
          <w:rFonts w:hint="eastAsia" w:ascii="黑体" w:hAnsi="黑体" w:eastAsia="黑体" w:cs="黑体"/>
          <w:b/>
          <w:kern w:val="0"/>
          <w:sz w:val="32"/>
          <w:szCs w:val="32"/>
        </w:rPr>
        <w:t>第八章  优化促进机制，保障各项工作有序推进</w:t>
      </w:r>
      <w:bookmarkEnd w:id="145"/>
      <w:bookmarkStart w:id="146" w:name="_Toc58938541"/>
      <w:bookmarkStart w:id="147" w:name="_Toc30750"/>
      <w:bookmarkStart w:id="148" w:name="_Toc58081160"/>
      <w:bookmarkStart w:id="149" w:name="_Toc19548"/>
    </w:p>
    <w:p w14:paraId="16EEE02B">
      <w:pPr>
        <w:autoSpaceDE w:val="0"/>
        <w:autoSpaceDN w:val="0"/>
        <w:adjustRightInd w:val="0"/>
        <w:snapToGrid w:val="0"/>
        <w:spacing w:line="560" w:lineRule="exact"/>
        <w:ind w:firstLine="640" w:firstLineChars="200"/>
        <w:jc w:val="left"/>
        <w:outlineLvl w:val="0"/>
        <w:rPr>
          <w:rFonts w:ascii="黑体" w:hAnsi="黑体" w:eastAsia="黑体" w:cs="黑体"/>
          <w:b/>
          <w:kern w:val="0"/>
          <w:sz w:val="32"/>
          <w:szCs w:val="32"/>
        </w:rPr>
      </w:pPr>
      <w:bookmarkStart w:id="150" w:name="_Toc60900813"/>
      <w:bookmarkStart w:id="151" w:name="_Toc25097"/>
      <w:bookmarkStart w:id="152" w:name="_Toc59301487"/>
      <w:bookmarkStart w:id="153" w:name="_Toc1443"/>
      <w:bookmarkStart w:id="154" w:name="_Toc59952127"/>
      <w:bookmarkStart w:id="155" w:name="_Toc8715"/>
      <w:r>
        <w:rPr>
          <w:rFonts w:hint="eastAsia" w:ascii="仿宋_GB2312" w:hAnsi="仿宋" w:eastAsia="仿宋_GB2312" w:cs="Times New Roman"/>
          <w:sz w:val="32"/>
          <w:szCs w:val="32"/>
        </w:rPr>
        <w:t>坚持</w:t>
      </w:r>
      <w:r>
        <w:rPr>
          <w:rFonts w:ascii="仿宋_GB2312" w:hAnsi="仿宋" w:eastAsia="仿宋_GB2312" w:cs="Times New Roman"/>
          <w:sz w:val="32"/>
          <w:szCs w:val="32"/>
        </w:rPr>
        <w:t>党的领导</w:t>
      </w:r>
      <w:r>
        <w:rPr>
          <w:rFonts w:hint="eastAsia" w:ascii="仿宋_GB2312" w:hAnsi="仿宋" w:eastAsia="仿宋_GB2312" w:cs="Times New Roman"/>
          <w:sz w:val="32"/>
          <w:szCs w:val="32"/>
        </w:rPr>
        <w:t>，充分调动一切积极因素、广泛团结一切可以团结的力量，坚持“以上率下写春秋”，主动担当作为，</w:t>
      </w:r>
      <w:r>
        <w:rPr>
          <w:rFonts w:ascii="仿宋_GB2312" w:hAnsi="仿宋" w:eastAsia="仿宋_GB2312" w:cs="Times New Roman"/>
          <w:sz w:val="32"/>
          <w:szCs w:val="32"/>
        </w:rPr>
        <w:t>更好地履职</w:t>
      </w:r>
      <w:r>
        <w:rPr>
          <w:rFonts w:hint="eastAsia" w:ascii="仿宋_GB2312" w:hAnsi="仿宋" w:eastAsia="仿宋_GB2312" w:cs="Times New Roman"/>
          <w:sz w:val="32"/>
          <w:szCs w:val="32"/>
        </w:rPr>
        <w:t>尽</w:t>
      </w:r>
      <w:r>
        <w:rPr>
          <w:rFonts w:ascii="仿宋_GB2312" w:hAnsi="仿宋" w:eastAsia="仿宋_GB2312" w:cs="Times New Roman"/>
          <w:sz w:val="32"/>
          <w:szCs w:val="32"/>
        </w:rPr>
        <w:t>责，健全支撑保障体系，形成</w:t>
      </w:r>
      <w:r>
        <w:rPr>
          <w:rFonts w:hint="eastAsia" w:ascii="仿宋_GB2312" w:hAnsi="仿宋" w:eastAsia="仿宋_GB2312" w:cs="Times New Roman"/>
          <w:sz w:val="32"/>
          <w:szCs w:val="32"/>
        </w:rPr>
        <w:t>“五治融合党引领”的工作格局，蓄积“十四五”高质量</w:t>
      </w:r>
      <w:r>
        <w:rPr>
          <w:rFonts w:ascii="仿宋_GB2312" w:hAnsi="仿宋" w:eastAsia="仿宋_GB2312" w:cs="Times New Roman"/>
          <w:sz w:val="32"/>
          <w:szCs w:val="32"/>
        </w:rPr>
        <w:t>发展的强大合力</w:t>
      </w:r>
      <w:r>
        <w:rPr>
          <w:rFonts w:hint="eastAsia" w:ascii="仿宋_GB2312" w:hAnsi="仿宋" w:eastAsia="仿宋_GB2312" w:cs="Times New Roman"/>
          <w:sz w:val="32"/>
          <w:szCs w:val="32"/>
        </w:rPr>
        <w:t>。</w:t>
      </w:r>
      <w:bookmarkEnd w:id="146"/>
      <w:bookmarkEnd w:id="150"/>
      <w:bookmarkEnd w:id="151"/>
      <w:bookmarkEnd w:id="152"/>
      <w:bookmarkEnd w:id="153"/>
      <w:bookmarkEnd w:id="154"/>
      <w:bookmarkEnd w:id="155"/>
    </w:p>
    <w:p w14:paraId="476399F7">
      <w:pPr>
        <w:autoSpaceDE w:val="0"/>
        <w:autoSpaceDN w:val="0"/>
        <w:adjustRightInd w:val="0"/>
        <w:snapToGrid w:val="0"/>
        <w:spacing w:line="560" w:lineRule="exact"/>
        <w:ind w:firstLine="643" w:firstLineChars="200"/>
        <w:jc w:val="center"/>
        <w:outlineLvl w:val="1"/>
        <w:rPr>
          <w:rFonts w:ascii="楷体" w:hAnsi="楷体" w:eastAsia="楷体" w:cs="楷体"/>
          <w:b/>
          <w:bCs/>
          <w:kern w:val="0"/>
          <w:sz w:val="32"/>
          <w:szCs w:val="32"/>
        </w:rPr>
      </w:pPr>
    </w:p>
    <w:p w14:paraId="13816F73">
      <w:pPr>
        <w:autoSpaceDE w:val="0"/>
        <w:autoSpaceDN w:val="0"/>
        <w:adjustRightInd w:val="0"/>
        <w:snapToGrid w:val="0"/>
        <w:spacing w:line="560" w:lineRule="exact"/>
        <w:ind w:firstLine="643" w:firstLineChars="200"/>
        <w:jc w:val="center"/>
        <w:outlineLvl w:val="1"/>
        <w:rPr>
          <w:rFonts w:ascii="仿宋_GB2312" w:hAnsi="楷体" w:eastAsia="仿宋_GB2312" w:cs="仿宋"/>
          <w:b/>
          <w:bCs/>
          <w:kern w:val="0"/>
          <w:sz w:val="32"/>
          <w:szCs w:val="32"/>
        </w:rPr>
      </w:pPr>
      <w:bookmarkStart w:id="156" w:name="_Toc60900814"/>
      <w:r>
        <w:rPr>
          <w:rFonts w:hint="eastAsia" w:ascii="楷体" w:hAnsi="楷体" w:eastAsia="楷体" w:cs="楷体"/>
          <w:b/>
          <w:bCs/>
          <w:kern w:val="0"/>
          <w:sz w:val="32"/>
          <w:szCs w:val="32"/>
        </w:rPr>
        <w:t>第一节  坚持和加强党的领导</w:t>
      </w:r>
      <w:bookmarkEnd w:id="156"/>
      <w:bookmarkStart w:id="157" w:name="_Toc23144"/>
      <w:bookmarkStart w:id="158" w:name="_Toc6194"/>
    </w:p>
    <w:bookmarkEnd w:id="157"/>
    <w:bookmarkEnd w:id="158"/>
    <w:p w14:paraId="63A401E6">
      <w:pPr>
        <w:autoSpaceDE w:val="0"/>
        <w:autoSpaceDN w:val="0"/>
        <w:adjustRightInd w:val="0"/>
        <w:snapToGrid w:val="0"/>
        <w:spacing w:line="560" w:lineRule="exact"/>
        <w:ind w:firstLine="640" w:firstLineChars="200"/>
        <w:rPr>
          <w:rFonts w:ascii="仿宋_GB2312" w:hAnsi="仿宋" w:eastAsia="仿宋_GB2312" w:cs="Times New Roman"/>
          <w:sz w:val="32"/>
          <w:szCs w:val="32"/>
        </w:rPr>
      </w:pPr>
      <w:bookmarkStart w:id="159" w:name="_Toc12683"/>
      <w:bookmarkStart w:id="160" w:name="_Toc5202"/>
      <w:r>
        <w:rPr>
          <w:rFonts w:hint="eastAsia" w:ascii="仿宋_GB2312" w:hAnsi="仿宋" w:eastAsia="仿宋_GB2312" w:cs="Times New Roman"/>
          <w:sz w:val="32"/>
          <w:szCs w:val="32"/>
        </w:rPr>
        <w:t>坚持以习近平新时代中国特色社会主义思想为指导，不忘初心、牢记使命，加强政治理论学习，</w:t>
      </w:r>
      <w:r>
        <w:rPr>
          <w:rFonts w:ascii="仿宋_GB2312" w:hAnsi="仿宋" w:eastAsia="仿宋_GB2312" w:cs="Times New Roman"/>
          <w:sz w:val="32"/>
          <w:szCs w:val="32"/>
        </w:rPr>
        <w:t>提高政治素养，增强“四个意识”、坚定“四个自信”、做到“两个维护”。</w:t>
      </w:r>
      <w:r>
        <w:rPr>
          <w:rFonts w:hint="eastAsia" w:ascii="仿宋_GB2312" w:hAnsi="仿宋" w:eastAsia="仿宋_GB2312" w:cs="Times New Roman"/>
          <w:sz w:val="32"/>
          <w:szCs w:val="32"/>
        </w:rPr>
        <w:t>坚持和完善党领导经济社会发展的体制机制，坚持五治融合党引领，为实现“十四五”时期高质量发展提供根本保障。在区委的正确领导下，更好地履行政府职能，主动适应新时代新形势新任务，提高把方向、谋大局、促发展的定力，发挥党总揽全局、协调各方的领导作用，坚定不移推动禹会高质量发展。</w:t>
      </w:r>
      <w:bookmarkEnd w:id="147"/>
      <w:bookmarkEnd w:id="148"/>
      <w:bookmarkEnd w:id="159"/>
      <w:bookmarkEnd w:id="160"/>
    </w:p>
    <w:p w14:paraId="3228A431">
      <w:pPr>
        <w:autoSpaceDE w:val="0"/>
        <w:autoSpaceDN w:val="0"/>
        <w:adjustRightInd w:val="0"/>
        <w:snapToGrid w:val="0"/>
        <w:spacing w:line="560" w:lineRule="exact"/>
        <w:ind w:firstLine="643" w:firstLineChars="200"/>
        <w:jc w:val="center"/>
        <w:outlineLvl w:val="1"/>
        <w:rPr>
          <w:rFonts w:ascii="楷体" w:hAnsi="楷体" w:eastAsia="楷体" w:cs="楷体"/>
          <w:b/>
          <w:bCs/>
          <w:kern w:val="0"/>
          <w:sz w:val="32"/>
          <w:szCs w:val="32"/>
        </w:rPr>
      </w:pPr>
    </w:p>
    <w:p w14:paraId="45C62C31">
      <w:pPr>
        <w:autoSpaceDE w:val="0"/>
        <w:autoSpaceDN w:val="0"/>
        <w:adjustRightInd w:val="0"/>
        <w:snapToGrid w:val="0"/>
        <w:spacing w:line="560" w:lineRule="exact"/>
        <w:ind w:firstLine="643" w:firstLineChars="200"/>
        <w:jc w:val="center"/>
        <w:outlineLvl w:val="1"/>
        <w:rPr>
          <w:rFonts w:ascii="楷体" w:hAnsi="楷体" w:eastAsia="楷体" w:cs="楷体"/>
          <w:b/>
          <w:bCs/>
          <w:kern w:val="0"/>
          <w:sz w:val="32"/>
          <w:szCs w:val="32"/>
        </w:rPr>
      </w:pPr>
      <w:bookmarkStart w:id="161" w:name="_Toc60900815"/>
      <w:r>
        <w:rPr>
          <w:rFonts w:hint="eastAsia" w:ascii="楷体" w:hAnsi="楷体" w:eastAsia="楷体" w:cs="楷体"/>
          <w:b/>
          <w:bCs/>
          <w:kern w:val="0"/>
          <w:sz w:val="32"/>
          <w:szCs w:val="32"/>
        </w:rPr>
        <w:t>第二节  加强干部队伍建设</w:t>
      </w:r>
      <w:bookmarkEnd w:id="161"/>
    </w:p>
    <w:p w14:paraId="2892CEA3">
      <w:pPr>
        <w:autoSpaceDE w:val="0"/>
        <w:autoSpaceDN w:val="0"/>
        <w:adjustRightInd w:val="0"/>
        <w:snapToGrid w:val="0"/>
        <w:spacing w:line="56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强化规矩意识</w:t>
      </w:r>
      <w:r>
        <w:rPr>
          <w:rFonts w:hint="eastAsia" w:ascii="仿宋_GB2312" w:hAnsi="仿宋" w:eastAsia="仿宋_GB2312" w:cs="Times New Roman"/>
          <w:sz w:val="32"/>
          <w:szCs w:val="32"/>
        </w:rPr>
        <w:t>，</w:t>
      </w:r>
      <w:r>
        <w:rPr>
          <w:rFonts w:ascii="仿宋_GB2312" w:hAnsi="仿宋" w:eastAsia="仿宋_GB2312" w:cs="Times New Roman"/>
          <w:sz w:val="32"/>
          <w:szCs w:val="32"/>
        </w:rPr>
        <w:t>坚决贯彻执行政治纪律、严守政治规矩，确保令行禁止、政令畅通。强化学习思维，把学习作为终身课题</w:t>
      </w:r>
      <w:r>
        <w:rPr>
          <w:rFonts w:hint="eastAsia" w:ascii="仿宋_GB2312" w:hAnsi="仿宋" w:eastAsia="仿宋_GB2312" w:cs="Times New Roman"/>
          <w:sz w:val="32"/>
          <w:szCs w:val="32"/>
        </w:rPr>
        <w:t>，</w:t>
      </w:r>
      <w:r>
        <w:rPr>
          <w:rFonts w:ascii="仿宋_GB2312" w:hAnsi="仿宋" w:eastAsia="仿宋_GB2312" w:cs="Times New Roman"/>
          <w:sz w:val="32"/>
          <w:szCs w:val="32"/>
        </w:rPr>
        <w:t>坚持干什么学什么、缺什么补什么</w:t>
      </w:r>
      <w:r>
        <w:rPr>
          <w:rFonts w:hint="eastAsia" w:ascii="仿宋_GB2312" w:hAnsi="仿宋" w:eastAsia="仿宋_GB2312" w:cs="Times New Roman"/>
          <w:sz w:val="32"/>
          <w:szCs w:val="32"/>
        </w:rPr>
        <w:t>的要求</w:t>
      </w:r>
      <w:r>
        <w:rPr>
          <w:rFonts w:ascii="仿宋_GB2312" w:hAnsi="仿宋" w:eastAsia="仿宋_GB2312" w:cs="Times New Roman"/>
          <w:sz w:val="32"/>
          <w:szCs w:val="32"/>
        </w:rPr>
        <w:t>，</w:t>
      </w:r>
      <w:r>
        <w:rPr>
          <w:rFonts w:hint="eastAsia" w:ascii="仿宋_GB2312" w:hAnsi="仿宋" w:eastAsia="仿宋_GB2312" w:cs="Times New Roman"/>
          <w:sz w:val="32"/>
          <w:szCs w:val="32"/>
        </w:rPr>
        <w:t>围绕</w:t>
      </w:r>
      <w:r>
        <w:rPr>
          <w:rFonts w:ascii="仿宋_GB2312" w:hAnsi="仿宋" w:eastAsia="仿宋_GB2312" w:cs="Times New Roman"/>
          <w:sz w:val="32"/>
          <w:szCs w:val="32"/>
        </w:rPr>
        <w:t>中心工作不断提高专业化水平，增强发现问题、解决问题的能力，</w:t>
      </w:r>
      <w:r>
        <w:rPr>
          <w:rFonts w:hint="eastAsia" w:ascii="仿宋_GB2312" w:hAnsi="仿宋" w:eastAsia="仿宋_GB2312" w:cs="Times New Roman"/>
          <w:sz w:val="32"/>
          <w:szCs w:val="32"/>
        </w:rPr>
        <w:t>善于在变局中把握规律，着力提高应对尤其是驾驭风险挑战的本领。坚持全面从严治党，坚持不懈推进党风廉政建设和反腐败斗争，让广大党员干部</w:t>
      </w:r>
      <w:r>
        <w:rPr>
          <w:rFonts w:ascii="仿宋_GB2312" w:hAnsi="仿宋" w:eastAsia="仿宋_GB2312" w:cs="Times New Roman"/>
          <w:sz w:val="32"/>
          <w:szCs w:val="32"/>
        </w:rPr>
        <w:t>时刻牢记制度红线不可逾越、法规底线不能触碰，</w:t>
      </w:r>
      <w:r>
        <w:rPr>
          <w:rFonts w:hint="eastAsia" w:ascii="仿宋_GB2312" w:hAnsi="仿宋" w:eastAsia="仿宋_GB2312" w:cs="Times New Roman"/>
          <w:sz w:val="32"/>
          <w:szCs w:val="32"/>
        </w:rPr>
        <w:t>打造一支勤政廉洁、务实高效的干部队伍。以实绩论英雄，激励广大干部开拓进取，</w:t>
      </w:r>
      <w:r>
        <w:rPr>
          <w:rFonts w:ascii="仿宋_GB2312" w:hAnsi="仿宋" w:eastAsia="仿宋_GB2312" w:cs="Times New Roman"/>
          <w:sz w:val="32"/>
          <w:szCs w:val="32"/>
        </w:rPr>
        <w:t>在实干中练就过硬本领</w:t>
      </w:r>
      <w:r>
        <w:rPr>
          <w:rFonts w:hint="eastAsia" w:ascii="仿宋_GB2312" w:hAnsi="仿宋" w:eastAsia="仿宋_GB2312" w:cs="Times New Roman"/>
          <w:sz w:val="32"/>
          <w:szCs w:val="32"/>
        </w:rPr>
        <w:t>、</w:t>
      </w:r>
      <w:r>
        <w:rPr>
          <w:rFonts w:ascii="仿宋_GB2312" w:hAnsi="仿宋" w:eastAsia="仿宋_GB2312" w:cs="Times New Roman"/>
          <w:sz w:val="32"/>
          <w:szCs w:val="32"/>
        </w:rPr>
        <w:t>在实干中淬炼担当品质</w:t>
      </w:r>
      <w:r>
        <w:rPr>
          <w:rFonts w:hint="eastAsia" w:ascii="仿宋_GB2312" w:hAnsi="仿宋" w:eastAsia="仿宋_GB2312" w:cs="Times New Roman"/>
          <w:sz w:val="32"/>
          <w:szCs w:val="32"/>
        </w:rPr>
        <w:t>、</w:t>
      </w:r>
      <w:r>
        <w:rPr>
          <w:rFonts w:ascii="仿宋_GB2312" w:hAnsi="仿宋" w:eastAsia="仿宋_GB2312" w:cs="Times New Roman"/>
          <w:sz w:val="32"/>
          <w:szCs w:val="32"/>
        </w:rPr>
        <w:t>在实干中恪守清廉本色</w:t>
      </w:r>
      <w:r>
        <w:rPr>
          <w:rFonts w:hint="eastAsia" w:ascii="仿宋_GB2312" w:hAnsi="仿宋" w:eastAsia="仿宋_GB2312" w:cs="Times New Roman"/>
          <w:sz w:val="32"/>
          <w:szCs w:val="32"/>
        </w:rPr>
        <w:t xml:space="preserve">，为禹会区高质量发展贡献力量。 </w:t>
      </w:r>
    </w:p>
    <w:bookmarkEnd w:id="149"/>
    <w:p w14:paraId="15CC8825">
      <w:pPr>
        <w:autoSpaceDE w:val="0"/>
        <w:autoSpaceDN w:val="0"/>
        <w:adjustRightInd w:val="0"/>
        <w:snapToGrid w:val="0"/>
        <w:spacing w:line="560" w:lineRule="exact"/>
        <w:ind w:firstLine="643" w:firstLineChars="200"/>
        <w:jc w:val="center"/>
        <w:outlineLvl w:val="1"/>
        <w:rPr>
          <w:rFonts w:ascii="楷体" w:hAnsi="楷体" w:eastAsia="楷体" w:cs="楷体"/>
          <w:b/>
          <w:bCs/>
          <w:kern w:val="0"/>
          <w:sz w:val="32"/>
          <w:szCs w:val="32"/>
        </w:rPr>
      </w:pPr>
      <w:bookmarkStart w:id="162" w:name="_Toc60900816"/>
      <w:bookmarkStart w:id="163" w:name="_Toc17438"/>
      <w:bookmarkStart w:id="164" w:name="_Toc58081161"/>
      <w:bookmarkStart w:id="165" w:name="_Toc23878"/>
      <w:bookmarkStart w:id="166" w:name="_Toc47012418"/>
    </w:p>
    <w:p w14:paraId="263FF525">
      <w:pPr>
        <w:autoSpaceDE w:val="0"/>
        <w:autoSpaceDN w:val="0"/>
        <w:adjustRightInd w:val="0"/>
        <w:snapToGrid w:val="0"/>
        <w:spacing w:line="560" w:lineRule="exact"/>
        <w:ind w:firstLine="643" w:firstLineChars="200"/>
        <w:jc w:val="center"/>
        <w:outlineLvl w:val="1"/>
        <w:rPr>
          <w:rFonts w:ascii="楷体" w:hAnsi="楷体" w:eastAsia="楷体" w:cs="楷体"/>
          <w:b/>
          <w:bCs/>
          <w:kern w:val="0"/>
          <w:sz w:val="32"/>
          <w:szCs w:val="32"/>
        </w:rPr>
      </w:pPr>
      <w:r>
        <w:rPr>
          <w:rFonts w:hint="eastAsia" w:ascii="楷体" w:hAnsi="楷体" w:eastAsia="楷体" w:cs="楷体"/>
          <w:b/>
          <w:bCs/>
          <w:kern w:val="0"/>
          <w:sz w:val="32"/>
          <w:szCs w:val="32"/>
        </w:rPr>
        <w:t>第三节  防范化解重大风险</w:t>
      </w:r>
      <w:bookmarkEnd w:id="162"/>
    </w:p>
    <w:p w14:paraId="7C46B820">
      <w:pPr>
        <w:adjustRightInd w:val="0"/>
        <w:snapToGri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坚决贯彻落实总体国家安全观，坚持底线思维、问题导向，着力推进依法治区，全面推行行政执法公示、执法全过程记录等制度，促进社会公平正义和维护社会和谐稳定。</w:t>
      </w:r>
      <w:r>
        <w:rPr>
          <w:rFonts w:ascii="仿宋_GB2312" w:hAnsi="仿宋" w:eastAsia="仿宋_GB2312" w:cs="Times New Roman"/>
          <w:sz w:val="32"/>
          <w:szCs w:val="32"/>
        </w:rPr>
        <w:t>坚持把防范打击犯罪同化解风险、维护稳定统筹起来，</w:t>
      </w:r>
      <w:r>
        <w:rPr>
          <w:rFonts w:hint="eastAsia" w:ascii="仿宋_GB2312" w:hAnsi="仿宋" w:eastAsia="仿宋_GB2312" w:cs="Times New Roman"/>
          <w:sz w:val="32"/>
          <w:szCs w:val="32"/>
        </w:rPr>
        <w:t>强化安全风险管控，落实“一单四制”制度，治理重大事故隐患，扎实做好</w:t>
      </w:r>
      <w:r>
        <w:rPr>
          <w:rFonts w:ascii="仿宋_GB2312" w:hAnsi="仿宋" w:eastAsia="仿宋_GB2312" w:cs="Times New Roman"/>
          <w:sz w:val="32"/>
          <w:szCs w:val="32"/>
        </w:rPr>
        <w:t>安全生产</w:t>
      </w:r>
      <w:r>
        <w:rPr>
          <w:rFonts w:hint="eastAsia" w:ascii="仿宋_GB2312" w:hAnsi="仿宋" w:eastAsia="仿宋_GB2312" w:cs="Times New Roman"/>
          <w:sz w:val="32"/>
          <w:szCs w:val="32"/>
        </w:rPr>
        <w:t>、</w:t>
      </w:r>
      <w:r>
        <w:rPr>
          <w:rFonts w:ascii="仿宋_GB2312" w:hAnsi="仿宋" w:eastAsia="仿宋_GB2312" w:cs="Times New Roman"/>
          <w:sz w:val="32"/>
          <w:szCs w:val="32"/>
        </w:rPr>
        <w:t>食品安全、消防安全等各方面工作</w:t>
      </w:r>
      <w:r>
        <w:rPr>
          <w:rFonts w:hint="eastAsia" w:ascii="仿宋_GB2312" w:hAnsi="仿宋" w:eastAsia="仿宋_GB2312" w:cs="Times New Roman"/>
          <w:sz w:val="32"/>
          <w:szCs w:val="32"/>
        </w:rPr>
        <w:t>。</w:t>
      </w:r>
      <w:r>
        <w:rPr>
          <w:rFonts w:ascii="仿宋_GB2312" w:hAnsi="仿宋" w:eastAsia="仿宋_GB2312" w:cs="Times New Roman"/>
          <w:sz w:val="32"/>
          <w:szCs w:val="32"/>
        </w:rPr>
        <w:t>继续推进扫黑除恶专项斗争，</w:t>
      </w:r>
      <w:r>
        <w:rPr>
          <w:rFonts w:hint="eastAsia" w:ascii="仿宋_GB2312" w:hAnsi="仿宋" w:eastAsia="仿宋_GB2312" w:cs="Times New Roman"/>
          <w:sz w:val="32"/>
          <w:szCs w:val="32"/>
        </w:rPr>
        <w:t>加强对融资平台、网络众筹等金融业态监管力度，</w:t>
      </w:r>
      <w:r>
        <w:rPr>
          <w:rFonts w:ascii="仿宋_GB2312" w:hAnsi="仿宋" w:eastAsia="仿宋_GB2312" w:cs="Times New Roman"/>
          <w:sz w:val="32"/>
          <w:szCs w:val="32"/>
        </w:rPr>
        <w:t>保持对刑事犯罪的高压震慑态势，在打防并举、标本兼治上下功夫。推进社会治理现代化，依托城市大脑建设</w:t>
      </w:r>
      <w:r>
        <w:rPr>
          <w:rFonts w:hint="eastAsia" w:ascii="仿宋_GB2312" w:hAnsi="仿宋" w:eastAsia="仿宋_GB2312" w:cs="Times New Roman"/>
          <w:sz w:val="32"/>
          <w:szCs w:val="32"/>
        </w:rPr>
        <w:t>，</w:t>
      </w:r>
      <w:r>
        <w:rPr>
          <w:rFonts w:ascii="仿宋_GB2312" w:hAnsi="仿宋" w:eastAsia="仿宋_GB2312" w:cs="Times New Roman"/>
          <w:sz w:val="32"/>
          <w:szCs w:val="32"/>
        </w:rPr>
        <w:t>完善社会治安防控体系，</w:t>
      </w:r>
      <w:r>
        <w:rPr>
          <w:rFonts w:hint="eastAsia" w:ascii="仿宋_GB2312" w:hAnsi="仿宋" w:eastAsia="仿宋_GB2312" w:cs="Times New Roman"/>
          <w:sz w:val="32"/>
          <w:szCs w:val="32"/>
        </w:rPr>
        <w:t>深化“平安禹会”建设，</w:t>
      </w:r>
      <w:r>
        <w:rPr>
          <w:rFonts w:ascii="仿宋_GB2312" w:hAnsi="仿宋" w:eastAsia="仿宋_GB2312" w:cs="Times New Roman"/>
          <w:sz w:val="32"/>
          <w:szCs w:val="32"/>
        </w:rPr>
        <w:t>增强人民群众安全感</w:t>
      </w:r>
      <w:r>
        <w:rPr>
          <w:rFonts w:hint="eastAsia" w:ascii="仿宋_GB2312" w:hAnsi="仿宋" w:eastAsia="仿宋_GB2312" w:cs="Times New Roman"/>
          <w:sz w:val="32"/>
          <w:szCs w:val="32"/>
        </w:rPr>
        <w:t>。加快应急救援指挥系统建设，有序推进应急管理指挥中心和应急物资储备仓库等应急管理重大项目建设，提高应对“新型流感”“新冠肺炎”等重大突发公共卫生安全事件的能力，加强防灾减灾救灾能力。</w:t>
      </w:r>
      <w:bookmarkEnd w:id="163"/>
      <w:bookmarkEnd w:id="164"/>
    </w:p>
    <w:p w14:paraId="128297F0">
      <w:pPr>
        <w:adjustRightInd w:val="0"/>
        <w:snapToGrid w:val="0"/>
        <w:spacing w:line="560" w:lineRule="exact"/>
        <w:ind w:firstLine="643" w:firstLineChars="200"/>
        <w:jc w:val="center"/>
        <w:outlineLvl w:val="1"/>
        <w:rPr>
          <w:rFonts w:ascii="楷体" w:hAnsi="楷体" w:eastAsia="楷体" w:cs="楷体"/>
          <w:b/>
          <w:bCs/>
          <w:kern w:val="0"/>
          <w:sz w:val="32"/>
          <w:szCs w:val="32"/>
        </w:rPr>
      </w:pPr>
      <w:bookmarkStart w:id="167" w:name="_Toc28870"/>
      <w:bookmarkStart w:id="168" w:name="_Toc58081162"/>
    </w:p>
    <w:p w14:paraId="637992AC">
      <w:pPr>
        <w:adjustRightInd w:val="0"/>
        <w:snapToGrid w:val="0"/>
        <w:spacing w:line="560" w:lineRule="exact"/>
        <w:ind w:firstLine="643" w:firstLineChars="200"/>
        <w:jc w:val="center"/>
        <w:outlineLvl w:val="1"/>
        <w:rPr>
          <w:rFonts w:ascii="楷体" w:hAnsi="楷体" w:eastAsia="楷体" w:cs="楷体"/>
          <w:b/>
          <w:bCs/>
          <w:kern w:val="0"/>
          <w:sz w:val="32"/>
          <w:szCs w:val="32"/>
        </w:rPr>
      </w:pPr>
      <w:bookmarkStart w:id="169" w:name="_Toc60900817"/>
      <w:r>
        <w:rPr>
          <w:rFonts w:hint="eastAsia" w:ascii="楷体" w:hAnsi="楷体" w:eastAsia="楷体" w:cs="楷体"/>
          <w:b/>
          <w:bCs/>
          <w:kern w:val="0"/>
          <w:sz w:val="32"/>
          <w:szCs w:val="32"/>
        </w:rPr>
        <w:t>第四节  强化重大项目支撑</w:t>
      </w:r>
      <w:bookmarkEnd w:id="169"/>
    </w:p>
    <w:p w14:paraId="1B9A707A">
      <w:pPr>
        <w:adjustRightInd w:val="0"/>
        <w:snapToGri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围绕国家新近出台的一系列政策和全市发展战略，立足当前，着眼长远，围绕产业转型升级、基础设施、社会民生、生态环保等重点领域，谋划、储备、编报了308个具有全局性、战略性、基础性的“十四五”重大项目，总投资2076亿元，为“十四五”规划目标和任务提供坚实项目支撑。同时，根据中央预算内投资导向、老工业振兴专项、长三角产业转移等资金投向，谋划编制专项项目库，积极争取上级政策资金支持，为蚌埠“两个中心”建设提供更多支撑。</w:t>
      </w:r>
      <w:bookmarkEnd w:id="165"/>
      <w:bookmarkEnd w:id="166"/>
      <w:bookmarkEnd w:id="167"/>
      <w:bookmarkEnd w:id="168"/>
    </w:p>
    <w:sectPr>
      <w:footerReference r:id="rId4" w:type="default"/>
      <w:pgSz w:w="11906" w:h="16838"/>
      <w:pgMar w:top="1440" w:right="1800" w:bottom="1440" w:left="1800" w:header="794"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TimesNewRomanPSM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Malgun Gothic Semilight">
    <w:panose1 w:val="020B0502040204020203"/>
    <w:charset w:val="86"/>
    <w:family w:val="swiss"/>
    <w:pitch w:val="default"/>
    <w:sig w:usb0="900002AF" w:usb1="01D77CFB" w:usb2="00000012" w:usb3="00000000" w:csb0="203E01BD" w:csb1="D7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9A62A">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187C5">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08E25A">
                          <w:pPr>
                            <w:pStyle w:val="8"/>
                          </w:pPr>
                          <w:r>
                            <w:rPr>
                              <w:rFonts w:hint="eastAsia"/>
                            </w:rPr>
                            <w:t xml:space="preserve">第 </w:t>
                          </w:r>
                          <w:r>
                            <w:fldChar w:fldCharType="begin"/>
                          </w:r>
                          <w:r>
                            <w:instrText xml:space="preserve"> PAGE  \* MERGEFORMAT </w:instrText>
                          </w:r>
                          <w:r>
                            <w:fldChar w:fldCharType="separate"/>
                          </w:r>
                          <w:r>
                            <w:t>40</w:t>
                          </w:r>
                          <w:r>
                            <w:fldChar w:fldCharType="end"/>
                          </w:r>
                          <w:r>
                            <w:rPr>
                              <w:rFonts w:hint="eastAsia"/>
                            </w:rPr>
                            <w:t xml:space="preserve"> 页 共 45页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fill on="f" focussize="0,0"/>
              <v:stroke on="f"/>
              <v:imagedata o:title=""/>
              <o:lock v:ext="edit" aspectratio="f"/>
              <v:textbox inset="0mm,0mm,0mm,0mm" style="mso-fit-shape-to-text:t;">
                <w:txbxContent>
                  <w:p w14:paraId="4408E25A">
                    <w:pPr>
                      <w:pStyle w:val="8"/>
                    </w:pPr>
                    <w:r>
                      <w:rPr>
                        <w:rFonts w:hint="eastAsia"/>
                      </w:rPr>
                      <w:t xml:space="preserve">第 </w:t>
                    </w:r>
                    <w:r>
                      <w:fldChar w:fldCharType="begin"/>
                    </w:r>
                    <w:r>
                      <w:instrText xml:space="preserve"> PAGE  \* MERGEFORMAT </w:instrText>
                    </w:r>
                    <w:r>
                      <w:fldChar w:fldCharType="separate"/>
                    </w:r>
                    <w:r>
                      <w:t>40</w:t>
                    </w:r>
                    <w:r>
                      <w:fldChar w:fldCharType="end"/>
                    </w:r>
                    <w:r>
                      <w:rPr>
                        <w:rFonts w:hint="eastAsia"/>
                      </w:rPr>
                      <w:t xml:space="preserve"> 页 共 45页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BEAA3"/>
    <w:multiLevelType w:val="singleLevel"/>
    <w:tmpl w:val="95BBEAA3"/>
    <w:lvl w:ilvl="0" w:tentative="0">
      <w:start w:val="2"/>
      <w:numFmt w:val="chineseCounting"/>
      <w:pStyle w:val="26"/>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NmY0Njk4NDZlMWUzMzVjMjMzZDI1Y2Q5NDUwN2QifQ=="/>
  </w:docVars>
  <w:rsids>
    <w:rsidRoot w:val="00210053"/>
    <w:rsid w:val="000022B2"/>
    <w:rsid w:val="00002EC4"/>
    <w:rsid w:val="00010B82"/>
    <w:rsid w:val="00014442"/>
    <w:rsid w:val="00016F08"/>
    <w:rsid w:val="000204DF"/>
    <w:rsid w:val="00024FA7"/>
    <w:rsid w:val="000263C9"/>
    <w:rsid w:val="00026D8E"/>
    <w:rsid w:val="000322C0"/>
    <w:rsid w:val="000330A7"/>
    <w:rsid w:val="00033871"/>
    <w:rsid w:val="000338FB"/>
    <w:rsid w:val="000353C4"/>
    <w:rsid w:val="000444F7"/>
    <w:rsid w:val="000452DA"/>
    <w:rsid w:val="00045B80"/>
    <w:rsid w:val="00045BE5"/>
    <w:rsid w:val="00046680"/>
    <w:rsid w:val="00050A75"/>
    <w:rsid w:val="00050F97"/>
    <w:rsid w:val="00053039"/>
    <w:rsid w:val="00053CE6"/>
    <w:rsid w:val="000546B2"/>
    <w:rsid w:val="00056497"/>
    <w:rsid w:val="00056AAC"/>
    <w:rsid w:val="000604DC"/>
    <w:rsid w:val="00060B20"/>
    <w:rsid w:val="00061149"/>
    <w:rsid w:val="000612F9"/>
    <w:rsid w:val="00062F99"/>
    <w:rsid w:val="0006540B"/>
    <w:rsid w:val="0006689A"/>
    <w:rsid w:val="0007040A"/>
    <w:rsid w:val="00071432"/>
    <w:rsid w:val="000729B1"/>
    <w:rsid w:val="00072F4D"/>
    <w:rsid w:val="0007583C"/>
    <w:rsid w:val="00077DE0"/>
    <w:rsid w:val="0008330E"/>
    <w:rsid w:val="00085750"/>
    <w:rsid w:val="00085B24"/>
    <w:rsid w:val="00086CFF"/>
    <w:rsid w:val="000875B8"/>
    <w:rsid w:val="00087A1A"/>
    <w:rsid w:val="00091030"/>
    <w:rsid w:val="00091E51"/>
    <w:rsid w:val="00092D52"/>
    <w:rsid w:val="000939AE"/>
    <w:rsid w:val="00094DD6"/>
    <w:rsid w:val="00095301"/>
    <w:rsid w:val="00097EDA"/>
    <w:rsid w:val="000A2750"/>
    <w:rsid w:val="000A3790"/>
    <w:rsid w:val="000A39E5"/>
    <w:rsid w:val="000A3CD1"/>
    <w:rsid w:val="000A4B79"/>
    <w:rsid w:val="000A6A93"/>
    <w:rsid w:val="000A6D1F"/>
    <w:rsid w:val="000A76D3"/>
    <w:rsid w:val="000B37AC"/>
    <w:rsid w:val="000B3FE2"/>
    <w:rsid w:val="000B4A6D"/>
    <w:rsid w:val="000B563B"/>
    <w:rsid w:val="000B624C"/>
    <w:rsid w:val="000C02DC"/>
    <w:rsid w:val="000C098F"/>
    <w:rsid w:val="000C302D"/>
    <w:rsid w:val="000C4626"/>
    <w:rsid w:val="000C6AE1"/>
    <w:rsid w:val="000C6E2C"/>
    <w:rsid w:val="000D07BA"/>
    <w:rsid w:val="000D2DC8"/>
    <w:rsid w:val="000D523A"/>
    <w:rsid w:val="000D63B4"/>
    <w:rsid w:val="000D6C63"/>
    <w:rsid w:val="000D72EF"/>
    <w:rsid w:val="000E01C5"/>
    <w:rsid w:val="000E020B"/>
    <w:rsid w:val="000E2325"/>
    <w:rsid w:val="000E356F"/>
    <w:rsid w:val="000F11AC"/>
    <w:rsid w:val="000F5B15"/>
    <w:rsid w:val="000F5E80"/>
    <w:rsid w:val="000F647E"/>
    <w:rsid w:val="000F6576"/>
    <w:rsid w:val="00101E01"/>
    <w:rsid w:val="0010524A"/>
    <w:rsid w:val="00107E8D"/>
    <w:rsid w:val="0011015F"/>
    <w:rsid w:val="001109C1"/>
    <w:rsid w:val="00114050"/>
    <w:rsid w:val="00116646"/>
    <w:rsid w:val="001210D9"/>
    <w:rsid w:val="00121764"/>
    <w:rsid w:val="00123201"/>
    <w:rsid w:val="00125D9A"/>
    <w:rsid w:val="001266D2"/>
    <w:rsid w:val="00130519"/>
    <w:rsid w:val="0013485D"/>
    <w:rsid w:val="00135185"/>
    <w:rsid w:val="001358D6"/>
    <w:rsid w:val="001362E2"/>
    <w:rsid w:val="0013650A"/>
    <w:rsid w:val="001416EF"/>
    <w:rsid w:val="00143D94"/>
    <w:rsid w:val="00144553"/>
    <w:rsid w:val="00147820"/>
    <w:rsid w:val="001479BA"/>
    <w:rsid w:val="001513F5"/>
    <w:rsid w:val="00153936"/>
    <w:rsid w:val="00160456"/>
    <w:rsid w:val="00162905"/>
    <w:rsid w:val="001634A0"/>
    <w:rsid w:val="00164B9A"/>
    <w:rsid w:val="00164F65"/>
    <w:rsid w:val="001663BD"/>
    <w:rsid w:val="001668DE"/>
    <w:rsid w:val="00171CF6"/>
    <w:rsid w:val="00172BCA"/>
    <w:rsid w:val="001763E3"/>
    <w:rsid w:val="00180977"/>
    <w:rsid w:val="00181187"/>
    <w:rsid w:val="00181A1B"/>
    <w:rsid w:val="00182AF5"/>
    <w:rsid w:val="0018358D"/>
    <w:rsid w:val="001844B6"/>
    <w:rsid w:val="00184D05"/>
    <w:rsid w:val="00184FC5"/>
    <w:rsid w:val="001851B8"/>
    <w:rsid w:val="00185770"/>
    <w:rsid w:val="00185AE0"/>
    <w:rsid w:val="00186F34"/>
    <w:rsid w:val="001900E8"/>
    <w:rsid w:val="001913C1"/>
    <w:rsid w:val="001930AF"/>
    <w:rsid w:val="001944EF"/>
    <w:rsid w:val="00195C36"/>
    <w:rsid w:val="00195F7E"/>
    <w:rsid w:val="001968C7"/>
    <w:rsid w:val="00197CC5"/>
    <w:rsid w:val="001A05C7"/>
    <w:rsid w:val="001A2624"/>
    <w:rsid w:val="001A2E56"/>
    <w:rsid w:val="001A3BF9"/>
    <w:rsid w:val="001A483F"/>
    <w:rsid w:val="001A51CB"/>
    <w:rsid w:val="001A5566"/>
    <w:rsid w:val="001A6FD9"/>
    <w:rsid w:val="001B0EFE"/>
    <w:rsid w:val="001B1636"/>
    <w:rsid w:val="001B2E0C"/>
    <w:rsid w:val="001B2E8A"/>
    <w:rsid w:val="001B5C70"/>
    <w:rsid w:val="001B5E4D"/>
    <w:rsid w:val="001B7395"/>
    <w:rsid w:val="001B7A74"/>
    <w:rsid w:val="001C2893"/>
    <w:rsid w:val="001C2F56"/>
    <w:rsid w:val="001C351D"/>
    <w:rsid w:val="001C4608"/>
    <w:rsid w:val="001C647C"/>
    <w:rsid w:val="001C68F2"/>
    <w:rsid w:val="001D1C5F"/>
    <w:rsid w:val="001D24EE"/>
    <w:rsid w:val="001D54DF"/>
    <w:rsid w:val="001D7583"/>
    <w:rsid w:val="001D761F"/>
    <w:rsid w:val="001E1421"/>
    <w:rsid w:val="001E1718"/>
    <w:rsid w:val="001E3596"/>
    <w:rsid w:val="001E3856"/>
    <w:rsid w:val="001E3C12"/>
    <w:rsid w:val="001E6275"/>
    <w:rsid w:val="001E7B09"/>
    <w:rsid w:val="001E7DA8"/>
    <w:rsid w:val="001F1108"/>
    <w:rsid w:val="001F14DF"/>
    <w:rsid w:val="001F1D6C"/>
    <w:rsid w:val="001F31F4"/>
    <w:rsid w:val="001F4113"/>
    <w:rsid w:val="00201404"/>
    <w:rsid w:val="00203F01"/>
    <w:rsid w:val="0020465D"/>
    <w:rsid w:val="00205A5F"/>
    <w:rsid w:val="002077E5"/>
    <w:rsid w:val="00207CA8"/>
    <w:rsid w:val="00210053"/>
    <w:rsid w:val="002135F3"/>
    <w:rsid w:val="0021643E"/>
    <w:rsid w:val="00222BD1"/>
    <w:rsid w:val="002252D4"/>
    <w:rsid w:val="0022542C"/>
    <w:rsid w:val="0022774F"/>
    <w:rsid w:val="00230E6D"/>
    <w:rsid w:val="002322AA"/>
    <w:rsid w:val="00232CB6"/>
    <w:rsid w:val="00233122"/>
    <w:rsid w:val="0023338B"/>
    <w:rsid w:val="00234169"/>
    <w:rsid w:val="00234AFE"/>
    <w:rsid w:val="00235CC5"/>
    <w:rsid w:val="00235E36"/>
    <w:rsid w:val="0023665D"/>
    <w:rsid w:val="00240D3B"/>
    <w:rsid w:val="00242227"/>
    <w:rsid w:val="002424F0"/>
    <w:rsid w:val="0024371C"/>
    <w:rsid w:val="00243A80"/>
    <w:rsid w:val="002456E5"/>
    <w:rsid w:val="00245A8A"/>
    <w:rsid w:val="002462C6"/>
    <w:rsid w:val="00246C62"/>
    <w:rsid w:val="00250C46"/>
    <w:rsid w:val="002520CB"/>
    <w:rsid w:val="00254335"/>
    <w:rsid w:val="00264ECF"/>
    <w:rsid w:val="002657C5"/>
    <w:rsid w:val="00266ADC"/>
    <w:rsid w:val="00266C52"/>
    <w:rsid w:val="00271980"/>
    <w:rsid w:val="00272A48"/>
    <w:rsid w:val="00274138"/>
    <w:rsid w:val="00276C47"/>
    <w:rsid w:val="00277B2A"/>
    <w:rsid w:val="0028152B"/>
    <w:rsid w:val="002819EF"/>
    <w:rsid w:val="00281F51"/>
    <w:rsid w:val="00282BA7"/>
    <w:rsid w:val="00283DE3"/>
    <w:rsid w:val="002842E3"/>
    <w:rsid w:val="002854A3"/>
    <w:rsid w:val="0028624C"/>
    <w:rsid w:val="002866F1"/>
    <w:rsid w:val="00286A7D"/>
    <w:rsid w:val="00287B2E"/>
    <w:rsid w:val="00290E57"/>
    <w:rsid w:val="002914C4"/>
    <w:rsid w:val="00293A5B"/>
    <w:rsid w:val="002940A3"/>
    <w:rsid w:val="00294D46"/>
    <w:rsid w:val="002A126D"/>
    <w:rsid w:val="002A3843"/>
    <w:rsid w:val="002A39A0"/>
    <w:rsid w:val="002A4AF6"/>
    <w:rsid w:val="002A7D4B"/>
    <w:rsid w:val="002B0ED7"/>
    <w:rsid w:val="002B228A"/>
    <w:rsid w:val="002C2946"/>
    <w:rsid w:val="002C3C85"/>
    <w:rsid w:val="002C4476"/>
    <w:rsid w:val="002D04E8"/>
    <w:rsid w:val="002D2F8B"/>
    <w:rsid w:val="002D3281"/>
    <w:rsid w:val="002E1B61"/>
    <w:rsid w:val="002E2509"/>
    <w:rsid w:val="002E4BC5"/>
    <w:rsid w:val="002E7282"/>
    <w:rsid w:val="002F1BAF"/>
    <w:rsid w:val="002F1BFC"/>
    <w:rsid w:val="002F348E"/>
    <w:rsid w:val="002F4E02"/>
    <w:rsid w:val="00300478"/>
    <w:rsid w:val="003019C7"/>
    <w:rsid w:val="00303146"/>
    <w:rsid w:val="00305286"/>
    <w:rsid w:val="003052F9"/>
    <w:rsid w:val="00307FB1"/>
    <w:rsid w:val="003107EC"/>
    <w:rsid w:val="00310C44"/>
    <w:rsid w:val="00310D6E"/>
    <w:rsid w:val="003112DF"/>
    <w:rsid w:val="00313219"/>
    <w:rsid w:val="00313BFF"/>
    <w:rsid w:val="003149D5"/>
    <w:rsid w:val="00314A75"/>
    <w:rsid w:val="00315D69"/>
    <w:rsid w:val="00316A8B"/>
    <w:rsid w:val="00317658"/>
    <w:rsid w:val="0031783A"/>
    <w:rsid w:val="003178A3"/>
    <w:rsid w:val="00320BA2"/>
    <w:rsid w:val="003224E3"/>
    <w:rsid w:val="00322840"/>
    <w:rsid w:val="00331471"/>
    <w:rsid w:val="003320CE"/>
    <w:rsid w:val="00332D52"/>
    <w:rsid w:val="00333092"/>
    <w:rsid w:val="0033458F"/>
    <w:rsid w:val="003373ED"/>
    <w:rsid w:val="003408EC"/>
    <w:rsid w:val="00341113"/>
    <w:rsid w:val="00345C42"/>
    <w:rsid w:val="00345CFF"/>
    <w:rsid w:val="00346042"/>
    <w:rsid w:val="003479A9"/>
    <w:rsid w:val="00347A12"/>
    <w:rsid w:val="00351303"/>
    <w:rsid w:val="003527A8"/>
    <w:rsid w:val="00352FED"/>
    <w:rsid w:val="00353665"/>
    <w:rsid w:val="00356151"/>
    <w:rsid w:val="00361887"/>
    <w:rsid w:val="00362BFB"/>
    <w:rsid w:val="003636B4"/>
    <w:rsid w:val="003650B7"/>
    <w:rsid w:val="00370076"/>
    <w:rsid w:val="00374508"/>
    <w:rsid w:val="003757FA"/>
    <w:rsid w:val="0037591D"/>
    <w:rsid w:val="00375A71"/>
    <w:rsid w:val="00376001"/>
    <w:rsid w:val="00376009"/>
    <w:rsid w:val="00380FD4"/>
    <w:rsid w:val="00381A66"/>
    <w:rsid w:val="0038450A"/>
    <w:rsid w:val="00385BAB"/>
    <w:rsid w:val="00386BA0"/>
    <w:rsid w:val="003904C1"/>
    <w:rsid w:val="00392037"/>
    <w:rsid w:val="00392733"/>
    <w:rsid w:val="00392D88"/>
    <w:rsid w:val="00393AE6"/>
    <w:rsid w:val="003953E9"/>
    <w:rsid w:val="0039583C"/>
    <w:rsid w:val="003961A8"/>
    <w:rsid w:val="003975DA"/>
    <w:rsid w:val="003A3D6E"/>
    <w:rsid w:val="003A6674"/>
    <w:rsid w:val="003B0B5D"/>
    <w:rsid w:val="003B158D"/>
    <w:rsid w:val="003B19A5"/>
    <w:rsid w:val="003B1EC6"/>
    <w:rsid w:val="003B2228"/>
    <w:rsid w:val="003B41A2"/>
    <w:rsid w:val="003B525A"/>
    <w:rsid w:val="003B6FA3"/>
    <w:rsid w:val="003B7F3D"/>
    <w:rsid w:val="003C074E"/>
    <w:rsid w:val="003C0BEA"/>
    <w:rsid w:val="003C2E63"/>
    <w:rsid w:val="003C3B91"/>
    <w:rsid w:val="003C53D2"/>
    <w:rsid w:val="003C5B13"/>
    <w:rsid w:val="003C6F2B"/>
    <w:rsid w:val="003C7455"/>
    <w:rsid w:val="003C7FB6"/>
    <w:rsid w:val="003D13AE"/>
    <w:rsid w:val="003D3B49"/>
    <w:rsid w:val="003D420E"/>
    <w:rsid w:val="003D5009"/>
    <w:rsid w:val="003D5A75"/>
    <w:rsid w:val="003D64CD"/>
    <w:rsid w:val="003D75F0"/>
    <w:rsid w:val="003D7EBA"/>
    <w:rsid w:val="003E388A"/>
    <w:rsid w:val="003E44B0"/>
    <w:rsid w:val="003E7029"/>
    <w:rsid w:val="003F0BB1"/>
    <w:rsid w:val="003F1E86"/>
    <w:rsid w:val="003F2134"/>
    <w:rsid w:val="003F2969"/>
    <w:rsid w:val="003F35DA"/>
    <w:rsid w:val="003F562D"/>
    <w:rsid w:val="003F6492"/>
    <w:rsid w:val="003F6DB4"/>
    <w:rsid w:val="003F76E5"/>
    <w:rsid w:val="003F7F30"/>
    <w:rsid w:val="00402B93"/>
    <w:rsid w:val="004054C8"/>
    <w:rsid w:val="00405589"/>
    <w:rsid w:val="00407084"/>
    <w:rsid w:val="00411116"/>
    <w:rsid w:val="004116AB"/>
    <w:rsid w:val="004119EA"/>
    <w:rsid w:val="00411A5F"/>
    <w:rsid w:val="00411BB2"/>
    <w:rsid w:val="00414AC0"/>
    <w:rsid w:val="004172AA"/>
    <w:rsid w:val="004178FF"/>
    <w:rsid w:val="0042030B"/>
    <w:rsid w:val="00420C83"/>
    <w:rsid w:val="0042261B"/>
    <w:rsid w:val="004229E6"/>
    <w:rsid w:val="004235B4"/>
    <w:rsid w:val="004236CB"/>
    <w:rsid w:val="0042461E"/>
    <w:rsid w:val="0042480C"/>
    <w:rsid w:val="00424E02"/>
    <w:rsid w:val="00425C51"/>
    <w:rsid w:val="00431B0E"/>
    <w:rsid w:val="004339DF"/>
    <w:rsid w:val="00435895"/>
    <w:rsid w:val="00435EB9"/>
    <w:rsid w:val="004361CD"/>
    <w:rsid w:val="00437F41"/>
    <w:rsid w:val="00441D4E"/>
    <w:rsid w:val="004434D5"/>
    <w:rsid w:val="0044501D"/>
    <w:rsid w:val="00445B51"/>
    <w:rsid w:val="00445E32"/>
    <w:rsid w:val="004507A7"/>
    <w:rsid w:val="0045111E"/>
    <w:rsid w:val="004518BD"/>
    <w:rsid w:val="00452F51"/>
    <w:rsid w:val="00454941"/>
    <w:rsid w:val="004570D7"/>
    <w:rsid w:val="00460038"/>
    <w:rsid w:val="00460535"/>
    <w:rsid w:val="00461455"/>
    <w:rsid w:val="00461681"/>
    <w:rsid w:val="00462AC4"/>
    <w:rsid w:val="00464EC0"/>
    <w:rsid w:val="00465DC3"/>
    <w:rsid w:val="00467A32"/>
    <w:rsid w:val="0047332A"/>
    <w:rsid w:val="00477EC2"/>
    <w:rsid w:val="00480B3A"/>
    <w:rsid w:val="00483F09"/>
    <w:rsid w:val="00484A97"/>
    <w:rsid w:val="004855E0"/>
    <w:rsid w:val="0048676E"/>
    <w:rsid w:val="00486960"/>
    <w:rsid w:val="00487DC0"/>
    <w:rsid w:val="004903C6"/>
    <w:rsid w:val="00490B82"/>
    <w:rsid w:val="00491A8E"/>
    <w:rsid w:val="00491EC1"/>
    <w:rsid w:val="004922C6"/>
    <w:rsid w:val="00492626"/>
    <w:rsid w:val="004950E5"/>
    <w:rsid w:val="004957ED"/>
    <w:rsid w:val="004A54AA"/>
    <w:rsid w:val="004A718B"/>
    <w:rsid w:val="004B0CE1"/>
    <w:rsid w:val="004B29C1"/>
    <w:rsid w:val="004B640A"/>
    <w:rsid w:val="004B6D72"/>
    <w:rsid w:val="004B73B8"/>
    <w:rsid w:val="004B77FB"/>
    <w:rsid w:val="004B79F0"/>
    <w:rsid w:val="004C11F2"/>
    <w:rsid w:val="004C12BD"/>
    <w:rsid w:val="004C1506"/>
    <w:rsid w:val="004C593C"/>
    <w:rsid w:val="004C6BD0"/>
    <w:rsid w:val="004C74B3"/>
    <w:rsid w:val="004D3A01"/>
    <w:rsid w:val="004D3A87"/>
    <w:rsid w:val="004D4C50"/>
    <w:rsid w:val="004D4F69"/>
    <w:rsid w:val="004D66B7"/>
    <w:rsid w:val="004E2CC4"/>
    <w:rsid w:val="004E55D3"/>
    <w:rsid w:val="004E5BDC"/>
    <w:rsid w:val="004E608B"/>
    <w:rsid w:val="004F30FE"/>
    <w:rsid w:val="004F4BD0"/>
    <w:rsid w:val="004F5CCF"/>
    <w:rsid w:val="004F6BF2"/>
    <w:rsid w:val="005009D4"/>
    <w:rsid w:val="0050109A"/>
    <w:rsid w:val="00504830"/>
    <w:rsid w:val="00504E9E"/>
    <w:rsid w:val="005063CA"/>
    <w:rsid w:val="00506577"/>
    <w:rsid w:val="00507281"/>
    <w:rsid w:val="00507546"/>
    <w:rsid w:val="005101B6"/>
    <w:rsid w:val="00511C33"/>
    <w:rsid w:val="00512213"/>
    <w:rsid w:val="0051382A"/>
    <w:rsid w:val="00516800"/>
    <w:rsid w:val="005204EF"/>
    <w:rsid w:val="0052052C"/>
    <w:rsid w:val="00520999"/>
    <w:rsid w:val="00521987"/>
    <w:rsid w:val="00522835"/>
    <w:rsid w:val="00525B8A"/>
    <w:rsid w:val="00526A4D"/>
    <w:rsid w:val="00527A75"/>
    <w:rsid w:val="00531BB4"/>
    <w:rsid w:val="00535DA8"/>
    <w:rsid w:val="0053658C"/>
    <w:rsid w:val="00543C93"/>
    <w:rsid w:val="00544A1F"/>
    <w:rsid w:val="005466BB"/>
    <w:rsid w:val="00546DD8"/>
    <w:rsid w:val="005503D6"/>
    <w:rsid w:val="005511ED"/>
    <w:rsid w:val="00552CF0"/>
    <w:rsid w:val="00552D7A"/>
    <w:rsid w:val="00553886"/>
    <w:rsid w:val="00554FBB"/>
    <w:rsid w:val="00555472"/>
    <w:rsid w:val="0055682E"/>
    <w:rsid w:val="00557E6B"/>
    <w:rsid w:val="005615A9"/>
    <w:rsid w:val="00562AE4"/>
    <w:rsid w:val="00564AC5"/>
    <w:rsid w:val="00565C6D"/>
    <w:rsid w:val="0056638C"/>
    <w:rsid w:val="00566B46"/>
    <w:rsid w:val="0057140D"/>
    <w:rsid w:val="005731B9"/>
    <w:rsid w:val="005750C2"/>
    <w:rsid w:val="00576749"/>
    <w:rsid w:val="005768C6"/>
    <w:rsid w:val="00580801"/>
    <w:rsid w:val="005833C9"/>
    <w:rsid w:val="00583DBE"/>
    <w:rsid w:val="005843EE"/>
    <w:rsid w:val="00586777"/>
    <w:rsid w:val="00587427"/>
    <w:rsid w:val="005927BB"/>
    <w:rsid w:val="00592BF1"/>
    <w:rsid w:val="0059374C"/>
    <w:rsid w:val="00597E17"/>
    <w:rsid w:val="005A01A0"/>
    <w:rsid w:val="005A1DD3"/>
    <w:rsid w:val="005A23DD"/>
    <w:rsid w:val="005A4569"/>
    <w:rsid w:val="005B22F5"/>
    <w:rsid w:val="005B25DB"/>
    <w:rsid w:val="005B2863"/>
    <w:rsid w:val="005B5B17"/>
    <w:rsid w:val="005B5CD7"/>
    <w:rsid w:val="005B7257"/>
    <w:rsid w:val="005C2C24"/>
    <w:rsid w:val="005C36BB"/>
    <w:rsid w:val="005D14C6"/>
    <w:rsid w:val="005D1C6D"/>
    <w:rsid w:val="005D1F78"/>
    <w:rsid w:val="005D2713"/>
    <w:rsid w:val="005D286B"/>
    <w:rsid w:val="005D2884"/>
    <w:rsid w:val="005D31EE"/>
    <w:rsid w:val="005D359E"/>
    <w:rsid w:val="005D5E9A"/>
    <w:rsid w:val="005D7262"/>
    <w:rsid w:val="005D7CDA"/>
    <w:rsid w:val="005E35DA"/>
    <w:rsid w:val="005E4451"/>
    <w:rsid w:val="005E48E3"/>
    <w:rsid w:val="005E7468"/>
    <w:rsid w:val="005E78A4"/>
    <w:rsid w:val="005F0A7E"/>
    <w:rsid w:val="005F2BA5"/>
    <w:rsid w:val="005F4D1E"/>
    <w:rsid w:val="005F5660"/>
    <w:rsid w:val="005F66B3"/>
    <w:rsid w:val="005F69E0"/>
    <w:rsid w:val="0060114D"/>
    <w:rsid w:val="0060131A"/>
    <w:rsid w:val="00601E1F"/>
    <w:rsid w:val="00602CB8"/>
    <w:rsid w:val="00602D9C"/>
    <w:rsid w:val="006071B4"/>
    <w:rsid w:val="00607C2C"/>
    <w:rsid w:val="00610A1C"/>
    <w:rsid w:val="00612AB2"/>
    <w:rsid w:val="0061324E"/>
    <w:rsid w:val="0061346D"/>
    <w:rsid w:val="00616B72"/>
    <w:rsid w:val="00617BCE"/>
    <w:rsid w:val="00623FFE"/>
    <w:rsid w:val="0062544E"/>
    <w:rsid w:val="006258B0"/>
    <w:rsid w:val="00625B79"/>
    <w:rsid w:val="00625BA2"/>
    <w:rsid w:val="00630FAF"/>
    <w:rsid w:val="00631907"/>
    <w:rsid w:val="00631AB9"/>
    <w:rsid w:val="006345C9"/>
    <w:rsid w:val="00634FDE"/>
    <w:rsid w:val="00635BCE"/>
    <w:rsid w:val="00636A80"/>
    <w:rsid w:val="00636B54"/>
    <w:rsid w:val="0063719E"/>
    <w:rsid w:val="00640046"/>
    <w:rsid w:val="006427B6"/>
    <w:rsid w:val="00643040"/>
    <w:rsid w:val="00644EC2"/>
    <w:rsid w:val="006457CE"/>
    <w:rsid w:val="0064595A"/>
    <w:rsid w:val="00647213"/>
    <w:rsid w:val="0064748A"/>
    <w:rsid w:val="00650832"/>
    <w:rsid w:val="00651267"/>
    <w:rsid w:val="006513F9"/>
    <w:rsid w:val="006521B6"/>
    <w:rsid w:val="00652AF7"/>
    <w:rsid w:val="0065522C"/>
    <w:rsid w:val="00655821"/>
    <w:rsid w:val="00656418"/>
    <w:rsid w:val="006576AF"/>
    <w:rsid w:val="00657ED9"/>
    <w:rsid w:val="00660BC8"/>
    <w:rsid w:val="006628FD"/>
    <w:rsid w:val="00663C41"/>
    <w:rsid w:val="00665E4E"/>
    <w:rsid w:val="00666918"/>
    <w:rsid w:val="006718D5"/>
    <w:rsid w:val="00671B18"/>
    <w:rsid w:val="00673C2E"/>
    <w:rsid w:val="0067489B"/>
    <w:rsid w:val="00675376"/>
    <w:rsid w:val="00675763"/>
    <w:rsid w:val="006778DA"/>
    <w:rsid w:val="00684ACB"/>
    <w:rsid w:val="00687992"/>
    <w:rsid w:val="006914D8"/>
    <w:rsid w:val="0069196A"/>
    <w:rsid w:val="006949B1"/>
    <w:rsid w:val="00695E91"/>
    <w:rsid w:val="00695F19"/>
    <w:rsid w:val="006A0A03"/>
    <w:rsid w:val="006A22AE"/>
    <w:rsid w:val="006A2BE9"/>
    <w:rsid w:val="006B0E73"/>
    <w:rsid w:val="006B23CE"/>
    <w:rsid w:val="006B26E6"/>
    <w:rsid w:val="006B393D"/>
    <w:rsid w:val="006B409B"/>
    <w:rsid w:val="006B5566"/>
    <w:rsid w:val="006B5A93"/>
    <w:rsid w:val="006B609B"/>
    <w:rsid w:val="006B6354"/>
    <w:rsid w:val="006B6B3C"/>
    <w:rsid w:val="006B7B19"/>
    <w:rsid w:val="006C026A"/>
    <w:rsid w:val="006C09A5"/>
    <w:rsid w:val="006C52EE"/>
    <w:rsid w:val="006C5581"/>
    <w:rsid w:val="006C575E"/>
    <w:rsid w:val="006C7A90"/>
    <w:rsid w:val="006D0561"/>
    <w:rsid w:val="006D0C81"/>
    <w:rsid w:val="006D1A79"/>
    <w:rsid w:val="006D37EC"/>
    <w:rsid w:val="006D6837"/>
    <w:rsid w:val="006D6E57"/>
    <w:rsid w:val="006E1DE0"/>
    <w:rsid w:val="006F01B6"/>
    <w:rsid w:val="006F09A1"/>
    <w:rsid w:val="006F1550"/>
    <w:rsid w:val="006F1A4A"/>
    <w:rsid w:val="006F24D0"/>
    <w:rsid w:val="006F26FA"/>
    <w:rsid w:val="006F7C91"/>
    <w:rsid w:val="00700F92"/>
    <w:rsid w:val="00701D1F"/>
    <w:rsid w:val="007044C9"/>
    <w:rsid w:val="0070477E"/>
    <w:rsid w:val="007050B4"/>
    <w:rsid w:val="00710650"/>
    <w:rsid w:val="00714028"/>
    <w:rsid w:val="00714AAE"/>
    <w:rsid w:val="00716FF6"/>
    <w:rsid w:val="0071768B"/>
    <w:rsid w:val="00717B6A"/>
    <w:rsid w:val="007201C7"/>
    <w:rsid w:val="00722A81"/>
    <w:rsid w:val="007237E3"/>
    <w:rsid w:val="00724042"/>
    <w:rsid w:val="00724771"/>
    <w:rsid w:val="007252CA"/>
    <w:rsid w:val="007256E1"/>
    <w:rsid w:val="00725D96"/>
    <w:rsid w:val="0072738B"/>
    <w:rsid w:val="007273EC"/>
    <w:rsid w:val="00727B39"/>
    <w:rsid w:val="007332DC"/>
    <w:rsid w:val="00735A2A"/>
    <w:rsid w:val="00736398"/>
    <w:rsid w:val="00737925"/>
    <w:rsid w:val="00741648"/>
    <w:rsid w:val="007428FC"/>
    <w:rsid w:val="00747B86"/>
    <w:rsid w:val="00747F60"/>
    <w:rsid w:val="00752F91"/>
    <w:rsid w:val="007607E9"/>
    <w:rsid w:val="00761233"/>
    <w:rsid w:val="0076451F"/>
    <w:rsid w:val="00765438"/>
    <w:rsid w:val="00766C90"/>
    <w:rsid w:val="007757E1"/>
    <w:rsid w:val="00780CCA"/>
    <w:rsid w:val="00782286"/>
    <w:rsid w:val="00784B6A"/>
    <w:rsid w:val="00784BEF"/>
    <w:rsid w:val="00785C2A"/>
    <w:rsid w:val="0078721F"/>
    <w:rsid w:val="00787578"/>
    <w:rsid w:val="007909D8"/>
    <w:rsid w:val="007929EE"/>
    <w:rsid w:val="00792BD4"/>
    <w:rsid w:val="007948A6"/>
    <w:rsid w:val="007949ED"/>
    <w:rsid w:val="007A0875"/>
    <w:rsid w:val="007A30B8"/>
    <w:rsid w:val="007A7E22"/>
    <w:rsid w:val="007B0B57"/>
    <w:rsid w:val="007B3B41"/>
    <w:rsid w:val="007B3FFD"/>
    <w:rsid w:val="007B75C2"/>
    <w:rsid w:val="007C2131"/>
    <w:rsid w:val="007C2230"/>
    <w:rsid w:val="007C2970"/>
    <w:rsid w:val="007C39EA"/>
    <w:rsid w:val="007C5B1C"/>
    <w:rsid w:val="007D7FAC"/>
    <w:rsid w:val="007E01BA"/>
    <w:rsid w:val="007E098C"/>
    <w:rsid w:val="007E0EB8"/>
    <w:rsid w:val="007E220E"/>
    <w:rsid w:val="007E2E83"/>
    <w:rsid w:val="007E32EE"/>
    <w:rsid w:val="007E607B"/>
    <w:rsid w:val="007E74EE"/>
    <w:rsid w:val="007F1AAB"/>
    <w:rsid w:val="007F39EF"/>
    <w:rsid w:val="007F3E43"/>
    <w:rsid w:val="007F3F7A"/>
    <w:rsid w:val="007F3F80"/>
    <w:rsid w:val="007F4DEF"/>
    <w:rsid w:val="007F5499"/>
    <w:rsid w:val="007F7CCB"/>
    <w:rsid w:val="0080413B"/>
    <w:rsid w:val="0080487E"/>
    <w:rsid w:val="00804FAA"/>
    <w:rsid w:val="00807BFB"/>
    <w:rsid w:val="008125DB"/>
    <w:rsid w:val="00813F4B"/>
    <w:rsid w:val="0081443F"/>
    <w:rsid w:val="00822A1B"/>
    <w:rsid w:val="00825D0B"/>
    <w:rsid w:val="008260C8"/>
    <w:rsid w:val="008260D4"/>
    <w:rsid w:val="008269F9"/>
    <w:rsid w:val="00827336"/>
    <w:rsid w:val="008302D0"/>
    <w:rsid w:val="00835B1B"/>
    <w:rsid w:val="0083646C"/>
    <w:rsid w:val="008379FA"/>
    <w:rsid w:val="0084120C"/>
    <w:rsid w:val="008415AA"/>
    <w:rsid w:val="00841922"/>
    <w:rsid w:val="00842430"/>
    <w:rsid w:val="008437AE"/>
    <w:rsid w:val="00845C1D"/>
    <w:rsid w:val="00846BFE"/>
    <w:rsid w:val="00846E74"/>
    <w:rsid w:val="00847037"/>
    <w:rsid w:val="00847BCB"/>
    <w:rsid w:val="00850AE1"/>
    <w:rsid w:val="00853F6A"/>
    <w:rsid w:val="00855CB4"/>
    <w:rsid w:val="00864432"/>
    <w:rsid w:val="00870AA9"/>
    <w:rsid w:val="00872A53"/>
    <w:rsid w:val="00873339"/>
    <w:rsid w:val="008751F9"/>
    <w:rsid w:val="0087588B"/>
    <w:rsid w:val="008817E7"/>
    <w:rsid w:val="00882D17"/>
    <w:rsid w:val="008854FC"/>
    <w:rsid w:val="00886102"/>
    <w:rsid w:val="00890119"/>
    <w:rsid w:val="0089357D"/>
    <w:rsid w:val="008939F0"/>
    <w:rsid w:val="00894421"/>
    <w:rsid w:val="00894FDE"/>
    <w:rsid w:val="008A38C4"/>
    <w:rsid w:val="008A43A6"/>
    <w:rsid w:val="008A643D"/>
    <w:rsid w:val="008A7649"/>
    <w:rsid w:val="008B19C1"/>
    <w:rsid w:val="008B2F0F"/>
    <w:rsid w:val="008B2FD7"/>
    <w:rsid w:val="008B35F7"/>
    <w:rsid w:val="008B3896"/>
    <w:rsid w:val="008B3CAC"/>
    <w:rsid w:val="008B49F5"/>
    <w:rsid w:val="008C1167"/>
    <w:rsid w:val="008C2120"/>
    <w:rsid w:val="008C3CF7"/>
    <w:rsid w:val="008C562F"/>
    <w:rsid w:val="008C576E"/>
    <w:rsid w:val="008C611C"/>
    <w:rsid w:val="008C62EF"/>
    <w:rsid w:val="008C64EB"/>
    <w:rsid w:val="008C6833"/>
    <w:rsid w:val="008C6AF2"/>
    <w:rsid w:val="008D0600"/>
    <w:rsid w:val="008E1739"/>
    <w:rsid w:val="008E1BB9"/>
    <w:rsid w:val="008E22D0"/>
    <w:rsid w:val="008E2F6A"/>
    <w:rsid w:val="008E5E25"/>
    <w:rsid w:val="008E6267"/>
    <w:rsid w:val="008E645C"/>
    <w:rsid w:val="008F038C"/>
    <w:rsid w:val="008F1FF2"/>
    <w:rsid w:val="008F2386"/>
    <w:rsid w:val="008F25D2"/>
    <w:rsid w:val="008F413B"/>
    <w:rsid w:val="008F4168"/>
    <w:rsid w:val="008F45CD"/>
    <w:rsid w:val="008F4B05"/>
    <w:rsid w:val="008F5342"/>
    <w:rsid w:val="008F5D43"/>
    <w:rsid w:val="008F6011"/>
    <w:rsid w:val="008F6BE6"/>
    <w:rsid w:val="008F711B"/>
    <w:rsid w:val="008F7725"/>
    <w:rsid w:val="00901406"/>
    <w:rsid w:val="009016F8"/>
    <w:rsid w:val="009040F1"/>
    <w:rsid w:val="0090570D"/>
    <w:rsid w:val="00905F06"/>
    <w:rsid w:val="0090696D"/>
    <w:rsid w:val="00907B2A"/>
    <w:rsid w:val="009138E8"/>
    <w:rsid w:val="00914C0E"/>
    <w:rsid w:val="00914C5A"/>
    <w:rsid w:val="00916F86"/>
    <w:rsid w:val="00921B11"/>
    <w:rsid w:val="00922823"/>
    <w:rsid w:val="00922D98"/>
    <w:rsid w:val="009237F5"/>
    <w:rsid w:val="0092517E"/>
    <w:rsid w:val="00926728"/>
    <w:rsid w:val="0093015E"/>
    <w:rsid w:val="009307FF"/>
    <w:rsid w:val="0093127C"/>
    <w:rsid w:val="00931478"/>
    <w:rsid w:val="00931BE8"/>
    <w:rsid w:val="00932BAF"/>
    <w:rsid w:val="00934348"/>
    <w:rsid w:val="009343AC"/>
    <w:rsid w:val="009347C9"/>
    <w:rsid w:val="00935F0A"/>
    <w:rsid w:val="00937E1F"/>
    <w:rsid w:val="009405FE"/>
    <w:rsid w:val="009428F2"/>
    <w:rsid w:val="00943643"/>
    <w:rsid w:val="00944343"/>
    <w:rsid w:val="00947C4F"/>
    <w:rsid w:val="00947F85"/>
    <w:rsid w:val="00953BF7"/>
    <w:rsid w:val="009547F6"/>
    <w:rsid w:val="00955FFF"/>
    <w:rsid w:val="00956242"/>
    <w:rsid w:val="0095628E"/>
    <w:rsid w:val="0095786A"/>
    <w:rsid w:val="00961B99"/>
    <w:rsid w:val="00962863"/>
    <w:rsid w:val="009628A8"/>
    <w:rsid w:val="00963128"/>
    <w:rsid w:val="009636F3"/>
    <w:rsid w:val="00963AC1"/>
    <w:rsid w:val="009644D6"/>
    <w:rsid w:val="009671F9"/>
    <w:rsid w:val="0097407C"/>
    <w:rsid w:val="00974F4B"/>
    <w:rsid w:val="00977101"/>
    <w:rsid w:val="00980594"/>
    <w:rsid w:val="00985151"/>
    <w:rsid w:val="009851F0"/>
    <w:rsid w:val="00986F1C"/>
    <w:rsid w:val="00986F69"/>
    <w:rsid w:val="00987A91"/>
    <w:rsid w:val="00987C2D"/>
    <w:rsid w:val="00991B86"/>
    <w:rsid w:val="0099462A"/>
    <w:rsid w:val="00994A32"/>
    <w:rsid w:val="00995294"/>
    <w:rsid w:val="00995843"/>
    <w:rsid w:val="00995FC8"/>
    <w:rsid w:val="00997B04"/>
    <w:rsid w:val="009A0311"/>
    <w:rsid w:val="009A675F"/>
    <w:rsid w:val="009A7040"/>
    <w:rsid w:val="009A72E7"/>
    <w:rsid w:val="009B007A"/>
    <w:rsid w:val="009B04E4"/>
    <w:rsid w:val="009B1086"/>
    <w:rsid w:val="009B2CEF"/>
    <w:rsid w:val="009B3E8F"/>
    <w:rsid w:val="009B4014"/>
    <w:rsid w:val="009B4323"/>
    <w:rsid w:val="009B4CFA"/>
    <w:rsid w:val="009B6948"/>
    <w:rsid w:val="009B7595"/>
    <w:rsid w:val="009C00DE"/>
    <w:rsid w:val="009C012F"/>
    <w:rsid w:val="009C113F"/>
    <w:rsid w:val="009C1780"/>
    <w:rsid w:val="009C2E9E"/>
    <w:rsid w:val="009C33EF"/>
    <w:rsid w:val="009C43C2"/>
    <w:rsid w:val="009C529D"/>
    <w:rsid w:val="009C5A8E"/>
    <w:rsid w:val="009C5CFE"/>
    <w:rsid w:val="009D5125"/>
    <w:rsid w:val="009D5C87"/>
    <w:rsid w:val="009D6847"/>
    <w:rsid w:val="009D7436"/>
    <w:rsid w:val="009E0399"/>
    <w:rsid w:val="009E053D"/>
    <w:rsid w:val="009E0835"/>
    <w:rsid w:val="009E20FD"/>
    <w:rsid w:val="009E2C48"/>
    <w:rsid w:val="009E34B0"/>
    <w:rsid w:val="009F084E"/>
    <w:rsid w:val="009F09BA"/>
    <w:rsid w:val="009F0E1F"/>
    <w:rsid w:val="009F1351"/>
    <w:rsid w:val="009F173C"/>
    <w:rsid w:val="009F1A7B"/>
    <w:rsid w:val="009F3717"/>
    <w:rsid w:val="009F45B6"/>
    <w:rsid w:val="009F6EBC"/>
    <w:rsid w:val="009F7E0C"/>
    <w:rsid w:val="00A00A51"/>
    <w:rsid w:val="00A02724"/>
    <w:rsid w:val="00A02814"/>
    <w:rsid w:val="00A03ADD"/>
    <w:rsid w:val="00A048E3"/>
    <w:rsid w:val="00A05A5A"/>
    <w:rsid w:val="00A100A8"/>
    <w:rsid w:val="00A11EDA"/>
    <w:rsid w:val="00A12437"/>
    <w:rsid w:val="00A14721"/>
    <w:rsid w:val="00A15E7A"/>
    <w:rsid w:val="00A171B3"/>
    <w:rsid w:val="00A2022E"/>
    <w:rsid w:val="00A20596"/>
    <w:rsid w:val="00A222B1"/>
    <w:rsid w:val="00A23E59"/>
    <w:rsid w:val="00A252E7"/>
    <w:rsid w:val="00A2531D"/>
    <w:rsid w:val="00A255DA"/>
    <w:rsid w:val="00A25C4A"/>
    <w:rsid w:val="00A25D7B"/>
    <w:rsid w:val="00A2692A"/>
    <w:rsid w:val="00A2749D"/>
    <w:rsid w:val="00A27ABE"/>
    <w:rsid w:val="00A27CE7"/>
    <w:rsid w:val="00A3047D"/>
    <w:rsid w:val="00A3196D"/>
    <w:rsid w:val="00A35720"/>
    <w:rsid w:val="00A35D5D"/>
    <w:rsid w:val="00A36E06"/>
    <w:rsid w:val="00A41167"/>
    <w:rsid w:val="00A411B3"/>
    <w:rsid w:val="00A4265B"/>
    <w:rsid w:val="00A42AE3"/>
    <w:rsid w:val="00A42B08"/>
    <w:rsid w:val="00A438D1"/>
    <w:rsid w:val="00A45021"/>
    <w:rsid w:val="00A479DF"/>
    <w:rsid w:val="00A50E47"/>
    <w:rsid w:val="00A52EF0"/>
    <w:rsid w:val="00A548D3"/>
    <w:rsid w:val="00A54D83"/>
    <w:rsid w:val="00A54E41"/>
    <w:rsid w:val="00A571FD"/>
    <w:rsid w:val="00A5736D"/>
    <w:rsid w:val="00A60137"/>
    <w:rsid w:val="00A6093D"/>
    <w:rsid w:val="00A6112D"/>
    <w:rsid w:val="00A6155E"/>
    <w:rsid w:val="00A619AF"/>
    <w:rsid w:val="00A621E7"/>
    <w:rsid w:val="00A63F91"/>
    <w:rsid w:val="00A65455"/>
    <w:rsid w:val="00A67E32"/>
    <w:rsid w:val="00A67FD3"/>
    <w:rsid w:val="00A70538"/>
    <w:rsid w:val="00A70874"/>
    <w:rsid w:val="00A70969"/>
    <w:rsid w:val="00A71878"/>
    <w:rsid w:val="00A7229C"/>
    <w:rsid w:val="00A72508"/>
    <w:rsid w:val="00A7616E"/>
    <w:rsid w:val="00A80303"/>
    <w:rsid w:val="00A81724"/>
    <w:rsid w:val="00A82EC8"/>
    <w:rsid w:val="00A83056"/>
    <w:rsid w:val="00A84BDE"/>
    <w:rsid w:val="00A84C27"/>
    <w:rsid w:val="00A86D74"/>
    <w:rsid w:val="00A87557"/>
    <w:rsid w:val="00A87573"/>
    <w:rsid w:val="00A91875"/>
    <w:rsid w:val="00A9347F"/>
    <w:rsid w:val="00A958C0"/>
    <w:rsid w:val="00A95AE2"/>
    <w:rsid w:val="00A96D02"/>
    <w:rsid w:val="00AA1A36"/>
    <w:rsid w:val="00AA3B78"/>
    <w:rsid w:val="00AA68A2"/>
    <w:rsid w:val="00AA6E1F"/>
    <w:rsid w:val="00AB2CAA"/>
    <w:rsid w:val="00AB3A0C"/>
    <w:rsid w:val="00AB492E"/>
    <w:rsid w:val="00AC04A6"/>
    <w:rsid w:val="00AC1BA3"/>
    <w:rsid w:val="00AC4467"/>
    <w:rsid w:val="00AC4DD5"/>
    <w:rsid w:val="00AC6E94"/>
    <w:rsid w:val="00AD09DD"/>
    <w:rsid w:val="00AD1F0E"/>
    <w:rsid w:val="00AE0284"/>
    <w:rsid w:val="00AE04B2"/>
    <w:rsid w:val="00AE230A"/>
    <w:rsid w:val="00AE289E"/>
    <w:rsid w:val="00AE43D7"/>
    <w:rsid w:val="00AE50B8"/>
    <w:rsid w:val="00AE5301"/>
    <w:rsid w:val="00AE65D8"/>
    <w:rsid w:val="00AE66DF"/>
    <w:rsid w:val="00AE6C9C"/>
    <w:rsid w:val="00AF0756"/>
    <w:rsid w:val="00AF1175"/>
    <w:rsid w:val="00AF28FD"/>
    <w:rsid w:val="00AF2DC4"/>
    <w:rsid w:val="00AF37A6"/>
    <w:rsid w:val="00AF3950"/>
    <w:rsid w:val="00AF4060"/>
    <w:rsid w:val="00AF4CE0"/>
    <w:rsid w:val="00AF5901"/>
    <w:rsid w:val="00B0118E"/>
    <w:rsid w:val="00B023D8"/>
    <w:rsid w:val="00B024EA"/>
    <w:rsid w:val="00B048C4"/>
    <w:rsid w:val="00B05A17"/>
    <w:rsid w:val="00B05BB2"/>
    <w:rsid w:val="00B066E4"/>
    <w:rsid w:val="00B10D9E"/>
    <w:rsid w:val="00B122C4"/>
    <w:rsid w:val="00B12410"/>
    <w:rsid w:val="00B15C5A"/>
    <w:rsid w:val="00B15D6A"/>
    <w:rsid w:val="00B17ED8"/>
    <w:rsid w:val="00B26305"/>
    <w:rsid w:val="00B313A2"/>
    <w:rsid w:val="00B31BB2"/>
    <w:rsid w:val="00B331B4"/>
    <w:rsid w:val="00B336FE"/>
    <w:rsid w:val="00B36BEA"/>
    <w:rsid w:val="00B377ED"/>
    <w:rsid w:val="00B401C8"/>
    <w:rsid w:val="00B447F3"/>
    <w:rsid w:val="00B451E0"/>
    <w:rsid w:val="00B457EE"/>
    <w:rsid w:val="00B51002"/>
    <w:rsid w:val="00B51842"/>
    <w:rsid w:val="00B535F0"/>
    <w:rsid w:val="00B60C47"/>
    <w:rsid w:val="00B60E5D"/>
    <w:rsid w:val="00B62283"/>
    <w:rsid w:val="00B62C98"/>
    <w:rsid w:val="00B632C4"/>
    <w:rsid w:val="00B63B6E"/>
    <w:rsid w:val="00B6628E"/>
    <w:rsid w:val="00B66BE1"/>
    <w:rsid w:val="00B66DF8"/>
    <w:rsid w:val="00B67C89"/>
    <w:rsid w:val="00B7044A"/>
    <w:rsid w:val="00B7175C"/>
    <w:rsid w:val="00B719AE"/>
    <w:rsid w:val="00B71AB2"/>
    <w:rsid w:val="00B73604"/>
    <w:rsid w:val="00B741EC"/>
    <w:rsid w:val="00B77443"/>
    <w:rsid w:val="00B77C9F"/>
    <w:rsid w:val="00B77ECE"/>
    <w:rsid w:val="00B8007B"/>
    <w:rsid w:val="00B8697D"/>
    <w:rsid w:val="00B90975"/>
    <w:rsid w:val="00B92C7F"/>
    <w:rsid w:val="00B92CEA"/>
    <w:rsid w:val="00B93159"/>
    <w:rsid w:val="00B9352D"/>
    <w:rsid w:val="00B93738"/>
    <w:rsid w:val="00B94A01"/>
    <w:rsid w:val="00B960AF"/>
    <w:rsid w:val="00B96565"/>
    <w:rsid w:val="00BA2BA1"/>
    <w:rsid w:val="00BA2D68"/>
    <w:rsid w:val="00BA3B33"/>
    <w:rsid w:val="00BA76D0"/>
    <w:rsid w:val="00BB02F7"/>
    <w:rsid w:val="00BB0C0E"/>
    <w:rsid w:val="00BB2283"/>
    <w:rsid w:val="00BB236D"/>
    <w:rsid w:val="00BB2A2B"/>
    <w:rsid w:val="00BB3A63"/>
    <w:rsid w:val="00BB3D86"/>
    <w:rsid w:val="00BC0D23"/>
    <w:rsid w:val="00BC246E"/>
    <w:rsid w:val="00BC57EA"/>
    <w:rsid w:val="00BC6116"/>
    <w:rsid w:val="00BC7779"/>
    <w:rsid w:val="00BC781A"/>
    <w:rsid w:val="00BD0077"/>
    <w:rsid w:val="00BD1EFA"/>
    <w:rsid w:val="00BD2BA3"/>
    <w:rsid w:val="00BD3FEA"/>
    <w:rsid w:val="00BD6348"/>
    <w:rsid w:val="00BD70EE"/>
    <w:rsid w:val="00BE05F9"/>
    <w:rsid w:val="00BE1AD4"/>
    <w:rsid w:val="00BE1DAC"/>
    <w:rsid w:val="00BE3387"/>
    <w:rsid w:val="00BE3737"/>
    <w:rsid w:val="00BE4C9E"/>
    <w:rsid w:val="00BF1430"/>
    <w:rsid w:val="00BF1AE7"/>
    <w:rsid w:val="00BF26AF"/>
    <w:rsid w:val="00BF49F1"/>
    <w:rsid w:val="00BF4B9F"/>
    <w:rsid w:val="00BF664B"/>
    <w:rsid w:val="00C01847"/>
    <w:rsid w:val="00C022A3"/>
    <w:rsid w:val="00C024A3"/>
    <w:rsid w:val="00C030D3"/>
    <w:rsid w:val="00C04E7A"/>
    <w:rsid w:val="00C1142D"/>
    <w:rsid w:val="00C1230A"/>
    <w:rsid w:val="00C12CEB"/>
    <w:rsid w:val="00C138FD"/>
    <w:rsid w:val="00C1507D"/>
    <w:rsid w:val="00C151F8"/>
    <w:rsid w:val="00C159BE"/>
    <w:rsid w:val="00C15D32"/>
    <w:rsid w:val="00C20DE3"/>
    <w:rsid w:val="00C2369E"/>
    <w:rsid w:val="00C23DC1"/>
    <w:rsid w:val="00C245BE"/>
    <w:rsid w:val="00C24C82"/>
    <w:rsid w:val="00C27114"/>
    <w:rsid w:val="00C272F4"/>
    <w:rsid w:val="00C306F9"/>
    <w:rsid w:val="00C34699"/>
    <w:rsid w:val="00C34CB5"/>
    <w:rsid w:val="00C36BA0"/>
    <w:rsid w:val="00C40B79"/>
    <w:rsid w:val="00C41D88"/>
    <w:rsid w:val="00C43F4B"/>
    <w:rsid w:val="00C44737"/>
    <w:rsid w:val="00C466DF"/>
    <w:rsid w:val="00C47037"/>
    <w:rsid w:val="00C5171E"/>
    <w:rsid w:val="00C54FF5"/>
    <w:rsid w:val="00C5680A"/>
    <w:rsid w:val="00C56FF0"/>
    <w:rsid w:val="00C62487"/>
    <w:rsid w:val="00C62594"/>
    <w:rsid w:val="00C62F50"/>
    <w:rsid w:val="00C62FAE"/>
    <w:rsid w:val="00C65090"/>
    <w:rsid w:val="00C659F7"/>
    <w:rsid w:val="00C70D54"/>
    <w:rsid w:val="00C71DDA"/>
    <w:rsid w:val="00C73561"/>
    <w:rsid w:val="00C737A9"/>
    <w:rsid w:val="00C7556E"/>
    <w:rsid w:val="00C755B8"/>
    <w:rsid w:val="00C7591A"/>
    <w:rsid w:val="00C76EB8"/>
    <w:rsid w:val="00C80CF0"/>
    <w:rsid w:val="00C81528"/>
    <w:rsid w:val="00C8182D"/>
    <w:rsid w:val="00C8323A"/>
    <w:rsid w:val="00C846DF"/>
    <w:rsid w:val="00C87090"/>
    <w:rsid w:val="00C8744E"/>
    <w:rsid w:val="00C90514"/>
    <w:rsid w:val="00C932A0"/>
    <w:rsid w:val="00C95E7D"/>
    <w:rsid w:val="00C961BE"/>
    <w:rsid w:val="00CA3717"/>
    <w:rsid w:val="00CA423A"/>
    <w:rsid w:val="00CA5514"/>
    <w:rsid w:val="00CB0770"/>
    <w:rsid w:val="00CB259F"/>
    <w:rsid w:val="00CB42E9"/>
    <w:rsid w:val="00CB4DE2"/>
    <w:rsid w:val="00CB4FD5"/>
    <w:rsid w:val="00CB5BBE"/>
    <w:rsid w:val="00CB7F84"/>
    <w:rsid w:val="00CC0BE3"/>
    <w:rsid w:val="00CC19DE"/>
    <w:rsid w:val="00CC3246"/>
    <w:rsid w:val="00CC3430"/>
    <w:rsid w:val="00CC4988"/>
    <w:rsid w:val="00CC679E"/>
    <w:rsid w:val="00CD08BC"/>
    <w:rsid w:val="00CD0FD5"/>
    <w:rsid w:val="00CD13A7"/>
    <w:rsid w:val="00CD268A"/>
    <w:rsid w:val="00CD3BCB"/>
    <w:rsid w:val="00CD3F69"/>
    <w:rsid w:val="00CD6802"/>
    <w:rsid w:val="00CE141E"/>
    <w:rsid w:val="00CE2923"/>
    <w:rsid w:val="00CE2DF3"/>
    <w:rsid w:val="00CE3369"/>
    <w:rsid w:val="00CE489D"/>
    <w:rsid w:val="00CE4A30"/>
    <w:rsid w:val="00CE52F6"/>
    <w:rsid w:val="00CE59D9"/>
    <w:rsid w:val="00CE674B"/>
    <w:rsid w:val="00CF1611"/>
    <w:rsid w:val="00CF6A0A"/>
    <w:rsid w:val="00CF6A42"/>
    <w:rsid w:val="00CF78D6"/>
    <w:rsid w:val="00D01B10"/>
    <w:rsid w:val="00D058B6"/>
    <w:rsid w:val="00D05AC0"/>
    <w:rsid w:val="00D06B02"/>
    <w:rsid w:val="00D074A2"/>
    <w:rsid w:val="00D101CA"/>
    <w:rsid w:val="00D12AAD"/>
    <w:rsid w:val="00D12F51"/>
    <w:rsid w:val="00D14E81"/>
    <w:rsid w:val="00D15D45"/>
    <w:rsid w:val="00D15FA8"/>
    <w:rsid w:val="00D15FCD"/>
    <w:rsid w:val="00D21802"/>
    <w:rsid w:val="00D25C39"/>
    <w:rsid w:val="00D25EC6"/>
    <w:rsid w:val="00D26DFB"/>
    <w:rsid w:val="00D309ED"/>
    <w:rsid w:val="00D32080"/>
    <w:rsid w:val="00D34F54"/>
    <w:rsid w:val="00D35060"/>
    <w:rsid w:val="00D3625E"/>
    <w:rsid w:val="00D40AE7"/>
    <w:rsid w:val="00D40FF1"/>
    <w:rsid w:val="00D410A4"/>
    <w:rsid w:val="00D41CD2"/>
    <w:rsid w:val="00D42292"/>
    <w:rsid w:val="00D42767"/>
    <w:rsid w:val="00D428D5"/>
    <w:rsid w:val="00D42EB7"/>
    <w:rsid w:val="00D43054"/>
    <w:rsid w:val="00D442B7"/>
    <w:rsid w:val="00D47868"/>
    <w:rsid w:val="00D50581"/>
    <w:rsid w:val="00D50AE2"/>
    <w:rsid w:val="00D51220"/>
    <w:rsid w:val="00D52123"/>
    <w:rsid w:val="00D54352"/>
    <w:rsid w:val="00D56565"/>
    <w:rsid w:val="00D5706A"/>
    <w:rsid w:val="00D62D56"/>
    <w:rsid w:val="00D63077"/>
    <w:rsid w:val="00D63513"/>
    <w:rsid w:val="00D702D3"/>
    <w:rsid w:val="00D7243E"/>
    <w:rsid w:val="00D729CD"/>
    <w:rsid w:val="00D730B4"/>
    <w:rsid w:val="00D73E9C"/>
    <w:rsid w:val="00D74797"/>
    <w:rsid w:val="00D77C11"/>
    <w:rsid w:val="00D821BD"/>
    <w:rsid w:val="00D836D2"/>
    <w:rsid w:val="00D8392E"/>
    <w:rsid w:val="00D87609"/>
    <w:rsid w:val="00D91285"/>
    <w:rsid w:val="00D9187B"/>
    <w:rsid w:val="00D94A86"/>
    <w:rsid w:val="00D94C77"/>
    <w:rsid w:val="00DA0D89"/>
    <w:rsid w:val="00DA1888"/>
    <w:rsid w:val="00DA1C06"/>
    <w:rsid w:val="00DA2B55"/>
    <w:rsid w:val="00DA3043"/>
    <w:rsid w:val="00DA3CE6"/>
    <w:rsid w:val="00DA4508"/>
    <w:rsid w:val="00DA64F7"/>
    <w:rsid w:val="00DA6C93"/>
    <w:rsid w:val="00DB1DCA"/>
    <w:rsid w:val="00DB27ED"/>
    <w:rsid w:val="00DB323F"/>
    <w:rsid w:val="00DB5A06"/>
    <w:rsid w:val="00DB6CD7"/>
    <w:rsid w:val="00DB7955"/>
    <w:rsid w:val="00DC328C"/>
    <w:rsid w:val="00DC530D"/>
    <w:rsid w:val="00DC6A91"/>
    <w:rsid w:val="00DC79AC"/>
    <w:rsid w:val="00DD11A1"/>
    <w:rsid w:val="00DD2F36"/>
    <w:rsid w:val="00DD39ED"/>
    <w:rsid w:val="00DD44EB"/>
    <w:rsid w:val="00DD5425"/>
    <w:rsid w:val="00DD68C4"/>
    <w:rsid w:val="00DD71EC"/>
    <w:rsid w:val="00DE090F"/>
    <w:rsid w:val="00DE3D21"/>
    <w:rsid w:val="00DE4E4A"/>
    <w:rsid w:val="00DE5E85"/>
    <w:rsid w:val="00DE6C06"/>
    <w:rsid w:val="00DE6CED"/>
    <w:rsid w:val="00DE7385"/>
    <w:rsid w:val="00DE78F3"/>
    <w:rsid w:val="00DF0C2E"/>
    <w:rsid w:val="00DF1FED"/>
    <w:rsid w:val="00DF25A2"/>
    <w:rsid w:val="00DF3FA3"/>
    <w:rsid w:val="00DF41A5"/>
    <w:rsid w:val="00DF5013"/>
    <w:rsid w:val="00DF5560"/>
    <w:rsid w:val="00DF5A77"/>
    <w:rsid w:val="00DF6E21"/>
    <w:rsid w:val="00DF6FB2"/>
    <w:rsid w:val="00DF7AA9"/>
    <w:rsid w:val="00E0424C"/>
    <w:rsid w:val="00E10661"/>
    <w:rsid w:val="00E15FF8"/>
    <w:rsid w:val="00E1696F"/>
    <w:rsid w:val="00E206D1"/>
    <w:rsid w:val="00E2092D"/>
    <w:rsid w:val="00E21441"/>
    <w:rsid w:val="00E22D75"/>
    <w:rsid w:val="00E2389F"/>
    <w:rsid w:val="00E2430B"/>
    <w:rsid w:val="00E2550E"/>
    <w:rsid w:val="00E26106"/>
    <w:rsid w:val="00E27131"/>
    <w:rsid w:val="00E27B1F"/>
    <w:rsid w:val="00E312A9"/>
    <w:rsid w:val="00E32FC8"/>
    <w:rsid w:val="00E41A94"/>
    <w:rsid w:val="00E42FCB"/>
    <w:rsid w:val="00E52977"/>
    <w:rsid w:val="00E52A29"/>
    <w:rsid w:val="00E53C14"/>
    <w:rsid w:val="00E5603B"/>
    <w:rsid w:val="00E56A4E"/>
    <w:rsid w:val="00E61AD4"/>
    <w:rsid w:val="00E63555"/>
    <w:rsid w:val="00E63685"/>
    <w:rsid w:val="00E6413B"/>
    <w:rsid w:val="00E65EF0"/>
    <w:rsid w:val="00E66DA4"/>
    <w:rsid w:val="00E74A68"/>
    <w:rsid w:val="00E74CE3"/>
    <w:rsid w:val="00E75E46"/>
    <w:rsid w:val="00E76231"/>
    <w:rsid w:val="00E77815"/>
    <w:rsid w:val="00E817A9"/>
    <w:rsid w:val="00E827F5"/>
    <w:rsid w:val="00E83BF8"/>
    <w:rsid w:val="00E848D0"/>
    <w:rsid w:val="00E8790C"/>
    <w:rsid w:val="00E9205D"/>
    <w:rsid w:val="00E92F43"/>
    <w:rsid w:val="00E9421E"/>
    <w:rsid w:val="00E96160"/>
    <w:rsid w:val="00E96B36"/>
    <w:rsid w:val="00E96ED2"/>
    <w:rsid w:val="00E97845"/>
    <w:rsid w:val="00EA7337"/>
    <w:rsid w:val="00EA73DB"/>
    <w:rsid w:val="00EA7421"/>
    <w:rsid w:val="00EA7E76"/>
    <w:rsid w:val="00EB007B"/>
    <w:rsid w:val="00EB013D"/>
    <w:rsid w:val="00EB08F6"/>
    <w:rsid w:val="00EB2BB5"/>
    <w:rsid w:val="00EB3464"/>
    <w:rsid w:val="00EB3944"/>
    <w:rsid w:val="00EB5DB2"/>
    <w:rsid w:val="00EB7533"/>
    <w:rsid w:val="00EC0E06"/>
    <w:rsid w:val="00EC2722"/>
    <w:rsid w:val="00EC2EED"/>
    <w:rsid w:val="00EC2F91"/>
    <w:rsid w:val="00EC50FD"/>
    <w:rsid w:val="00EC5E49"/>
    <w:rsid w:val="00EC67C2"/>
    <w:rsid w:val="00ED066A"/>
    <w:rsid w:val="00ED30E0"/>
    <w:rsid w:val="00ED3481"/>
    <w:rsid w:val="00ED5586"/>
    <w:rsid w:val="00ED5754"/>
    <w:rsid w:val="00ED5FCE"/>
    <w:rsid w:val="00ED7205"/>
    <w:rsid w:val="00EE0BAC"/>
    <w:rsid w:val="00EE0C77"/>
    <w:rsid w:val="00EE3D71"/>
    <w:rsid w:val="00EE452D"/>
    <w:rsid w:val="00EE580C"/>
    <w:rsid w:val="00EE78C0"/>
    <w:rsid w:val="00EE7A25"/>
    <w:rsid w:val="00EF2972"/>
    <w:rsid w:val="00EF4134"/>
    <w:rsid w:val="00F00BEE"/>
    <w:rsid w:val="00F01C0C"/>
    <w:rsid w:val="00F050AB"/>
    <w:rsid w:val="00F0550C"/>
    <w:rsid w:val="00F05736"/>
    <w:rsid w:val="00F063EF"/>
    <w:rsid w:val="00F101DB"/>
    <w:rsid w:val="00F10760"/>
    <w:rsid w:val="00F119CA"/>
    <w:rsid w:val="00F1349F"/>
    <w:rsid w:val="00F1354B"/>
    <w:rsid w:val="00F1457F"/>
    <w:rsid w:val="00F20C54"/>
    <w:rsid w:val="00F22774"/>
    <w:rsid w:val="00F22DE8"/>
    <w:rsid w:val="00F23E45"/>
    <w:rsid w:val="00F242D7"/>
    <w:rsid w:val="00F244D6"/>
    <w:rsid w:val="00F266E3"/>
    <w:rsid w:val="00F26D29"/>
    <w:rsid w:val="00F275C3"/>
    <w:rsid w:val="00F27AA8"/>
    <w:rsid w:val="00F308A8"/>
    <w:rsid w:val="00F3570C"/>
    <w:rsid w:val="00F36550"/>
    <w:rsid w:val="00F375C5"/>
    <w:rsid w:val="00F405D4"/>
    <w:rsid w:val="00F408CC"/>
    <w:rsid w:val="00F40C58"/>
    <w:rsid w:val="00F42FE7"/>
    <w:rsid w:val="00F43061"/>
    <w:rsid w:val="00F43307"/>
    <w:rsid w:val="00F433CC"/>
    <w:rsid w:val="00F44080"/>
    <w:rsid w:val="00F443EF"/>
    <w:rsid w:val="00F45AFE"/>
    <w:rsid w:val="00F469C8"/>
    <w:rsid w:val="00F47A52"/>
    <w:rsid w:val="00F53977"/>
    <w:rsid w:val="00F5478E"/>
    <w:rsid w:val="00F5591B"/>
    <w:rsid w:val="00F61D40"/>
    <w:rsid w:val="00F63168"/>
    <w:rsid w:val="00F6417D"/>
    <w:rsid w:val="00F64284"/>
    <w:rsid w:val="00F64787"/>
    <w:rsid w:val="00F65BAE"/>
    <w:rsid w:val="00F66ADB"/>
    <w:rsid w:val="00F70DDB"/>
    <w:rsid w:val="00F72A93"/>
    <w:rsid w:val="00F738CF"/>
    <w:rsid w:val="00F75AD1"/>
    <w:rsid w:val="00F75D98"/>
    <w:rsid w:val="00F76648"/>
    <w:rsid w:val="00F773EB"/>
    <w:rsid w:val="00F7752F"/>
    <w:rsid w:val="00F817A6"/>
    <w:rsid w:val="00F82DD8"/>
    <w:rsid w:val="00F82E55"/>
    <w:rsid w:val="00F85541"/>
    <w:rsid w:val="00F871DF"/>
    <w:rsid w:val="00F90257"/>
    <w:rsid w:val="00F938AC"/>
    <w:rsid w:val="00F9394C"/>
    <w:rsid w:val="00F94CCF"/>
    <w:rsid w:val="00F9558F"/>
    <w:rsid w:val="00F97AB8"/>
    <w:rsid w:val="00FA3B01"/>
    <w:rsid w:val="00FA58F5"/>
    <w:rsid w:val="00FA69DB"/>
    <w:rsid w:val="00FA7936"/>
    <w:rsid w:val="00FB2EBC"/>
    <w:rsid w:val="00FB4672"/>
    <w:rsid w:val="00FB4C32"/>
    <w:rsid w:val="00FB539D"/>
    <w:rsid w:val="00FB6F57"/>
    <w:rsid w:val="00FC1541"/>
    <w:rsid w:val="00FC27CE"/>
    <w:rsid w:val="00FC4CC9"/>
    <w:rsid w:val="00FC569A"/>
    <w:rsid w:val="00FC619E"/>
    <w:rsid w:val="00FC646C"/>
    <w:rsid w:val="00FC71B3"/>
    <w:rsid w:val="00FC78A3"/>
    <w:rsid w:val="00FD129A"/>
    <w:rsid w:val="00FD1C1C"/>
    <w:rsid w:val="00FD1CF9"/>
    <w:rsid w:val="00FD24AD"/>
    <w:rsid w:val="00FD2A7F"/>
    <w:rsid w:val="00FD398A"/>
    <w:rsid w:val="00FD4044"/>
    <w:rsid w:val="00FD4482"/>
    <w:rsid w:val="00FD4E8C"/>
    <w:rsid w:val="00FD51FF"/>
    <w:rsid w:val="00FD5F39"/>
    <w:rsid w:val="00FD61B0"/>
    <w:rsid w:val="00FD7B82"/>
    <w:rsid w:val="00FE161F"/>
    <w:rsid w:val="00FE22DB"/>
    <w:rsid w:val="00FE4226"/>
    <w:rsid w:val="00FF03C1"/>
    <w:rsid w:val="00FF03E3"/>
    <w:rsid w:val="00FF1743"/>
    <w:rsid w:val="00FF2A90"/>
    <w:rsid w:val="00FF5001"/>
    <w:rsid w:val="00FF5A1F"/>
    <w:rsid w:val="00FF6138"/>
    <w:rsid w:val="00FF7062"/>
    <w:rsid w:val="00FF734D"/>
    <w:rsid w:val="032F1740"/>
    <w:rsid w:val="06E9129A"/>
    <w:rsid w:val="08DE73FA"/>
    <w:rsid w:val="0D573FB6"/>
    <w:rsid w:val="0E027967"/>
    <w:rsid w:val="0ED74C90"/>
    <w:rsid w:val="100C1B0B"/>
    <w:rsid w:val="10C2441A"/>
    <w:rsid w:val="11016F8D"/>
    <w:rsid w:val="11EC270A"/>
    <w:rsid w:val="128318C0"/>
    <w:rsid w:val="135A1E5E"/>
    <w:rsid w:val="13D703A5"/>
    <w:rsid w:val="19C5095D"/>
    <w:rsid w:val="1AF13E00"/>
    <w:rsid w:val="1E173B94"/>
    <w:rsid w:val="20DE62BD"/>
    <w:rsid w:val="21DC42E3"/>
    <w:rsid w:val="23545378"/>
    <w:rsid w:val="25946AFD"/>
    <w:rsid w:val="27625CE9"/>
    <w:rsid w:val="284D427F"/>
    <w:rsid w:val="28B27455"/>
    <w:rsid w:val="293542FF"/>
    <w:rsid w:val="2CED79FC"/>
    <w:rsid w:val="2D8B306A"/>
    <w:rsid w:val="2E1B12A0"/>
    <w:rsid w:val="2E584C3C"/>
    <w:rsid w:val="2FC22AED"/>
    <w:rsid w:val="2FEA2595"/>
    <w:rsid w:val="34CB06F3"/>
    <w:rsid w:val="34E17702"/>
    <w:rsid w:val="358034CF"/>
    <w:rsid w:val="37B845E1"/>
    <w:rsid w:val="3C0C0E48"/>
    <w:rsid w:val="3EC01F41"/>
    <w:rsid w:val="3F7562B2"/>
    <w:rsid w:val="3FEF3FA6"/>
    <w:rsid w:val="40E856AB"/>
    <w:rsid w:val="41071491"/>
    <w:rsid w:val="42BD476D"/>
    <w:rsid w:val="439F614E"/>
    <w:rsid w:val="48252D31"/>
    <w:rsid w:val="4A43144F"/>
    <w:rsid w:val="4DA84B9A"/>
    <w:rsid w:val="4F6F3B95"/>
    <w:rsid w:val="54D95819"/>
    <w:rsid w:val="581A3D0E"/>
    <w:rsid w:val="62C127FB"/>
    <w:rsid w:val="62F64FC5"/>
    <w:rsid w:val="66C4199C"/>
    <w:rsid w:val="6C427E09"/>
    <w:rsid w:val="6DF45C52"/>
    <w:rsid w:val="6EFD112E"/>
    <w:rsid w:val="758E5946"/>
    <w:rsid w:val="7A05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7"/>
    <w:semiHidden/>
    <w:unhideWhenUsed/>
    <w:qFormat/>
    <w:uiPriority w:val="99"/>
    <w:pPr>
      <w:jc w:val="left"/>
    </w:pPr>
  </w:style>
  <w:style w:type="paragraph" w:styleId="6">
    <w:name w:val="toc 3"/>
    <w:basedOn w:val="1"/>
    <w:next w:val="1"/>
    <w:semiHidden/>
    <w:unhideWhenUsed/>
    <w:qFormat/>
    <w:uiPriority w:val="39"/>
    <w:pPr>
      <w:ind w:left="840" w:leftChars="400"/>
    </w:pPr>
  </w:style>
  <w:style w:type="paragraph" w:styleId="7">
    <w:name w:val="Balloon Text"/>
    <w:basedOn w:val="1"/>
    <w:link w:val="24"/>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spacing w:line="440" w:lineRule="exact"/>
    </w:pPr>
    <w:rPr>
      <w:rFonts w:ascii="黑体" w:hAnsi="黑体" w:eastAsia="黑体" w:cs="Times New Roman"/>
      <w:b/>
      <w:bCs/>
      <w:sz w:val="28"/>
      <w:szCs w:val="28"/>
    </w:rPr>
  </w:style>
  <w:style w:type="paragraph" w:styleId="11">
    <w:name w:val="toc 2"/>
    <w:basedOn w:val="1"/>
    <w:next w:val="1"/>
    <w:unhideWhenUsed/>
    <w:qFormat/>
    <w:uiPriority w:val="3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5"/>
    <w:next w:val="5"/>
    <w:link w:val="38"/>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unhideWhenUsed/>
    <w:qFormat/>
    <w:uiPriority w:val="99"/>
    <w:rPr>
      <w:color w:val="0000FF" w:themeColor="hyperlink"/>
      <w:u w:val="single"/>
    </w:rPr>
  </w:style>
  <w:style w:type="character" w:styleId="19">
    <w:name w:val="annotation reference"/>
    <w:basedOn w:val="16"/>
    <w:semiHidden/>
    <w:unhideWhenUsed/>
    <w:qFormat/>
    <w:uiPriority w:val="99"/>
    <w:rPr>
      <w:sz w:val="21"/>
      <w:szCs w:val="21"/>
    </w:rPr>
  </w:style>
  <w:style w:type="character" w:customStyle="1" w:styleId="20">
    <w:name w:val="页眉 Char"/>
    <w:basedOn w:val="16"/>
    <w:link w:val="9"/>
    <w:qFormat/>
    <w:uiPriority w:val="99"/>
    <w:rPr>
      <w:sz w:val="18"/>
      <w:szCs w:val="18"/>
    </w:rPr>
  </w:style>
  <w:style w:type="character" w:customStyle="1" w:styleId="21">
    <w:name w:val="页脚 Char"/>
    <w:basedOn w:val="16"/>
    <w:link w:val="8"/>
    <w:qFormat/>
    <w:uiPriority w:val="99"/>
    <w:rPr>
      <w:sz w:val="18"/>
      <w:szCs w:val="18"/>
    </w:rPr>
  </w:style>
  <w:style w:type="character" w:customStyle="1" w:styleId="22">
    <w:name w:val="标题 1 Char"/>
    <w:basedOn w:val="16"/>
    <w:link w:val="2"/>
    <w:qFormat/>
    <w:uiPriority w:val="9"/>
    <w:rPr>
      <w:b/>
      <w:bCs/>
      <w:kern w:val="44"/>
      <w:sz w:val="44"/>
      <w:szCs w:val="44"/>
    </w:rPr>
  </w:style>
  <w:style w:type="paragraph" w:customStyle="1" w:styleId="2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4">
    <w:name w:val="批注框文本 Char"/>
    <w:basedOn w:val="16"/>
    <w:link w:val="7"/>
    <w:semiHidden/>
    <w:qFormat/>
    <w:uiPriority w:val="99"/>
    <w:rPr>
      <w:sz w:val="18"/>
      <w:szCs w:val="18"/>
    </w:rPr>
  </w:style>
  <w:style w:type="paragraph" w:styleId="25">
    <w:name w:val="List Paragraph"/>
    <w:basedOn w:val="1"/>
    <w:unhideWhenUsed/>
    <w:qFormat/>
    <w:uiPriority w:val="34"/>
    <w:pPr>
      <w:ind w:firstLine="420" w:firstLineChars="200"/>
    </w:pPr>
  </w:style>
  <w:style w:type="paragraph" w:customStyle="1" w:styleId="26">
    <w:name w:val="图表标题样式"/>
    <w:basedOn w:val="1"/>
    <w:qFormat/>
    <w:uiPriority w:val="0"/>
    <w:pPr>
      <w:keepNext/>
      <w:keepLines/>
      <w:numPr>
        <w:ilvl w:val="0"/>
        <w:numId w:val="1"/>
      </w:numPr>
      <w:spacing w:before="240" w:after="64" w:line="320" w:lineRule="auto"/>
      <w:jc w:val="center"/>
      <w:outlineLvl w:val="8"/>
    </w:pPr>
    <w:rPr>
      <w:rFonts w:ascii="仿宋_GB2312" w:hAnsi="仿宋" w:eastAsia="仿宋_GB2312" w:cs="Times New Roman"/>
      <w:b/>
      <w:szCs w:val="21"/>
    </w:rPr>
  </w:style>
  <w:style w:type="paragraph" w:customStyle="1" w:styleId="27">
    <w:name w:val="三级标题"/>
    <w:basedOn w:val="4"/>
    <w:qFormat/>
    <w:uiPriority w:val="0"/>
    <w:pPr>
      <w:spacing w:line="415" w:lineRule="auto"/>
      <w:ind w:firstLine="200" w:firstLineChars="200"/>
    </w:pPr>
    <w:rPr>
      <w:rFonts w:ascii="仿宋_GB2312" w:hAnsi="仿宋" w:eastAsia="仿宋_GB2312" w:cs="Times New Roman"/>
      <w:sz w:val="28"/>
    </w:rPr>
  </w:style>
  <w:style w:type="character" w:customStyle="1" w:styleId="28">
    <w:name w:val="标题 3 Char"/>
    <w:basedOn w:val="16"/>
    <w:link w:val="4"/>
    <w:semiHidden/>
    <w:qFormat/>
    <w:uiPriority w:val="9"/>
    <w:rPr>
      <w:rFonts w:asciiTheme="minorHAnsi" w:hAnsiTheme="minorHAnsi" w:eastAsiaTheme="minorEastAsia" w:cstheme="minorBidi"/>
      <w:b/>
      <w:bCs/>
      <w:kern w:val="2"/>
      <w:sz w:val="32"/>
      <w:szCs w:val="32"/>
    </w:rPr>
  </w:style>
  <w:style w:type="paragraph" w:customStyle="1" w:styleId="29">
    <w:name w:val="正文文字"/>
    <w:basedOn w:val="1"/>
    <w:qFormat/>
    <w:uiPriority w:val="0"/>
    <w:pPr>
      <w:ind w:firstLine="200" w:firstLineChars="200"/>
    </w:pPr>
    <w:rPr>
      <w:rFonts w:ascii="仿宋_GB2312" w:hAnsi="仿宋" w:eastAsia="仿宋_GB2312" w:cs="Times New Roman"/>
      <w:sz w:val="28"/>
      <w:szCs w:val="28"/>
    </w:rPr>
  </w:style>
  <w:style w:type="paragraph" w:customStyle="1" w:styleId="30">
    <w:name w:val="二级标题"/>
    <w:basedOn w:val="3"/>
    <w:qFormat/>
    <w:uiPriority w:val="0"/>
    <w:rPr>
      <w:rFonts w:ascii="仿宋_GB2312" w:hAnsi="仿宋" w:eastAsia="仿宋_GB2312" w:cs="Times New Roman"/>
    </w:rPr>
  </w:style>
  <w:style w:type="character" w:customStyle="1" w:styleId="31">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2">
    <w:name w:val="Char"/>
    <w:basedOn w:val="2"/>
    <w:qFormat/>
    <w:uiPriority w:val="0"/>
    <w:pPr>
      <w:snapToGrid w:val="0"/>
      <w:spacing w:before="240" w:after="240" w:line="348" w:lineRule="auto"/>
    </w:pPr>
    <w:rPr>
      <w:rFonts w:ascii="Times New Roman" w:hAnsi="Times New Roman" w:eastAsia="仿宋_GB2312" w:cs="Times New Roman"/>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5">
    <w:name w:val="NormalCharacter"/>
    <w:qFormat/>
    <w:uiPriority w:val="0"/>
  </w:style>
  <w:style w:type="paragraph" w:customStyle="1" w:styleId="36">
    <w:name w:val="Char Char Char1 Char Char Char Char Char Char Char Char Char Char Char Char Char Char Char Char Char Char Char"/>
    <w:basedOn w:val="1"/>
    <w:qFormat/>
    <w:uiPriority w:val="0"/>
    <w:pPr>
      <w:widowControl/>
      <w:spacing w:after="160" w:line="240" w:lineRule="exact"/>
      <w:jc w:val="left"/>
    </w:pPr>
    <w:rPr>
      <w:rFonts w:ascii="Times New Roman" w:hAnsi="Times New Roman" w:eastAsia="仿宋_GB2312" w:cs="Times New Roman"/>
      <w:sz w:val="32"/>
      <w:szCs w:val="20"/>
    </w:rPr>
  </w:style>
  <w:style w:type="character" w:customStyle="1" w:styleId="37">
    <w:name w:val="批注文字 Char"/>
    <w:basedOn w:val="16"/>
    <w:link w:val="5"/>
    <w:semiHidden/>
    <w:qFormat/>
    <w:uiPriority w:val="99"/>
    <w:rPr>
      <w:rFonts w:asciiTheme="minorHAnsi" w:hAnsiTheme="minorHAnsi" w:eastAsiaTheme="minorEastAsia" w:cstheme="minorBidi"/>
      <w:kern w:val="2"/>
      <w:sz w:val="21"/>
      <w:szCs w:val="22"/>
    </w:rPr>
  </w:style>
  <w:style w:type="character" w:customStyle="1" w:styleId="38">
    <w:name w:val="批注主题 Char"/>
    <w:basedOn w:val="37"/>
    <w:link w:val="13"/>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1797BF-AE87-408A-BA11-93602BD08C7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10015</Words>
  <Characters>10234</Characters>
  <Lines>188</Lines>
  <Paragraphs>52</Paragraphs>
  <TotalTime>0</TotalTime>
  <ScaleCrop>false</ScaleCrop>
  <LinksUpToDate>false</LinksUpToDate>
  <CharactersWithSpaces>10443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2020-12-28T07:30:00Z</dcterms:created>
  <dc:creator>tangxinyun</dc:creator>
  <cp:lastModifiedBy>.</cp:lastModifiedBy>
  <cp:lastPrinted>2021-01-07T00:39:00Z</cp:lastPrinted>
  <dcterms:modified xsi:type="dcterms:W3CDTF">2025-04-03T03:27:55Z</dcterms:modified>
  <cp:revision>698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8E694D5A8A0B40D3B40806FC66669B26_13</vt:lpwstr>
  </property>
  <property fmtid="{D5CDD505-2E9C-101B-9397-08002B2CF9AE}" pid="4" name="KSOTemplateDocerSaveRecord">
    <vt:lpwstr>eyJoZGlkIjoiN2FkNmYwYTMyODQ3MGQ5NDk2M2Y3OTk3ZTdhMzljNTIiLCJ1c2VySWQiOiIyOTg3NTkyMzkifQ==</vt:lpwstr>
  </property>
</Properties>
</file>