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A53B9">
      <w:pPr>
        <w:pageBreakBefore w:val="0"/>
        <w:widowControl w:val="0"/>
        <w:kinsoku/>
        <w:wordWrap/>
        <w:overflowPunct/>
        <w:topLinePunct w:val="0"/>
        <w:autoSpaceDE/>
        <w:autoSpaceDN/>
        <w:bidi w:val="0"/>
        <w:spacing w:line="590" w:lineRule="exact"/>
        <w:ind w:left="0" w:leftChars="0" w:right="0" w:rightChars="0" w:firstLine="0" w:firstLineChars="0"/>
        <w:jc w:val="both"/>
        <w:textAlignment w:val="auto"/>
        <w:rPr>
          <w:rFonts w:hint="eastAsia"/>
        </w:rPr>
      </w:pPr>
    </w:p>
    <w:p w14:paraId="22BDAA19">
      <w:pPr>
        <w:pageBreakBefore w:val="0"/>
        <w:widowControl w:val="0"/>
        <w:kinsoku/>
        <w:wordWrap/>
        <w:overflowPunct/>
        <w:topLinePunct w:val="0"/>
        <w:autoSpaceDE/>
        <w:autoSpaceDN/>
        <w:bidi w:val="0"/>
        <w:spacing w:line="590" w:lineRule="exact"/>
        <w:ind w:left="0" w:leftChars="0" w:right="0" w:rightChars="0" w:firstLine="0" w:firstLineChars="0"/>
        <w:jc w:val="both"/>
        <w:textAlignment w:val="auto"/>
        <w:rPr>
          <w:rFonts w:hint="eastAsia"/>
        </w:rPr>
      </w:pPr>
    </w:p>
    <w:p w14:paraId="48547B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center"/>
        <w:rPr>
          <w:rFonts w:hint="default" w:ascii="方正仿宋_GBK" w:hAnsi="方正仿宋_GBK" w:eastAsia="方正仿宋_GBK" w:cs="方正仿宋_GBK"/>
          <w:b w:val="0"/>
          <w:bCs w:val="0"/>
          <w:i w:val="0"/>
          <w:iCs w:val="0"/>
          <w:caps w:val="0"/>
          <w:color w:val="333333"/>
          <w:spacing w:val="0"/>
          <w:sz w:val="24"/>
          <w:szCs w:val="24"/>
        </w:rPr>
      </w:pPr>
      <w:r>
        <w:rPr>
          <w:rFonts w:ascii="方正小标宋_GBK" w:hAnsi="方正小标宋_GBK" w:eastAsia="方正小标宋_GBK" w:cs="方正小标宋_GBK"/>
          <w:b w:val="0"/>
          <w:bCs w:val="0"/>
          <w:i w:val="0"/>
          <w:iCs w:val="0"/>
          <w:caps w:val="0"/>
          <w:color w:val="333333"/>
          <w:spacing w:val="0"/>
          <w:sz w:val="44"/>
          <w:szCs w:val="44"/>
          <w:shd w:val="clear" w:fill="FFFFFF"/>
        </w:rPr>
        <w:t>禹会区人民政府办公室</w:t>
      </w:r>
    </w:p>
    <w:p w14:paraId="4B6756BF">
      <w:pPr>
        <w:pStyle w:val="2"/>
        <w:keepNext/>
        <w:keepLines/>
        <w:pageBreakBefore w:val="0"/>
        <w:widowControl w:val="0"/>
        <w:kinsoku/>
        <w:wordWrap/>
        <w:overflowPunct/>
        <w:topLinePunct w:val="0"/>
        <w:autoSpaceDE/>
        <w:autoSpaceDN/>
        <w:bidi w:val="0"/>
        <w:adjustRightInd w:val="0"/>
        <w:snapToGrid w:val="0"/>
        <w:spacing w:beforeLines="0" w:afterLines="0" w:line="590" w:lineRule="exact"/>
        <w:ind w:leftChars="0" w:right="0" w:rightChars="0" w:firstLine="0" w:firstLineChars="0"/>
        <w:textAlignment w:val="auto"/>
        <w:rPr>
          <w:rFonts w:hint="eastAsia"/>
        </w:rPr>
      </w:pPr>
      <w:r>
        <w:rPr>
          <w:rFonts w:hint="eastAsia"/>
        </w:rPr>
        <w:t>关于印发禹会区政府投资项目工程变更</w:t>
      </w:r>
    </w:p>
    <w:p w14:paraId="1686C5D9">
      <w:pPr>
        <w:pStyle w:val="2"/>
        <w:keepNext/>
        <w:keepLines/>
        <w:pageBreakBefore w:val="0"/>
        <w:widowControl w:val="0"/>
        <w:kinsoku/>
        <w:wordWrap/>
        <w:overflowPunct/>
        <w:topLinePunct w:val="0"/>
        <w:autoSpaceDE/>
        <w:autoSpaceDN/>
        <w:bidi w:val="0"/>
        <w:adjustRightInd w:val="0"/>
        <w:snapToGrid w:val="0"/>
        <w:spacing w:beforeLines="0" w:afterLines="0" w:line="590" w:lineRule="exact"/>
        <w:ind w:leftChars="0" w:right="0" w:rightChars="0" w:firstLine="0" w:firstLineChars="0"/>
        <w:textAlignment w:val="auto"/>
        <w:rPr>
          <w:rFonts w:hint="eastAsia"/>
        </w:rPr>
      </w:pPr>
      <w:r>
        <w:rPr>
          <w:rFonts w:hint="eastAsia"/>
        </w:rPr>
        <w:t>签证管理补充规定的通知</w:t>
      </w:r>
    </w:p>
    <w:p w14:paraId="1C8F7B63">
      <w:pPr>
        <w:keepNext w:val="0"/>
        <w:keepLines w:val="0"/>
        <w:pageBreakBefore w:val="0"/>
        <w:widowControl w:val="0"/>
        <w:kinsoku/>
        <w:wordWrap/>
        <w:overflowPunct/>
        <w:topLinePunct w:val="0"/>
        <w:autoSpaceDE/>
        <w:autoSpaceDN/>
        <w:bidi w:val="0"/>
        <w:adjustRightInd w:val="0"/>
        <w:snapToGrid w:val="0"/>
        <w:spacing w:line="590" w:lineRule="exact"/>
        <w:ind w:leftChars="0" w:right="0" w:rightChars="0" w:firstLine="0" w:firstLineChars="0"/>
        <w:jc w:val="center"/>
        <w:textAlignment w:val="auto"/>
        <w:rPr>
          <w:rFonts w:hint="eastAsia" w:ascii="仿宋_GB2312"/>
        </w:rPr>
      </w:pPr>
      <w:r>
        <w:rPr>
          <w:rFonts w:hint="eastAsia"/>
        </w:rPr>
        <w:t>禹政办〔2012〕22号</w:t>
      </w:r>
    </w:p>
    <w:p w14:paraId="602261A8">
      <w:pPr>
        <w:pageBreakBefore w:val="0"/>
        <w:widowControl w:val="0"/>
        <w:kinsoku/>
        <w:wordWrap/>
        <w:overflowPunct/>
        <w:topLinePunct w:val="0"/>
        <w:autoSpaceDE/>
        <w:autoSpaceDN/>
        <w:bidi w:val="0"/>
        <w:spacing w:line="590" w:lineRule="exact"/>
        <w:ind w:leftChars="0" w:right="0" w:rightChars="0"/>
        <w:textAlignment w:val="auto"/>
        <w:rPr>
          <w:rFonts w:hint="eastAsia" w:ascii="仿宋_GB2312"/>
          <w:szCs w:val="32"/>
        </w:rPr>
      </w:pPr>
    </w:p>
    <w:p w14:paraId="0081AE48">
      <w:pPr>
        <w:pageBreakBefore w:val="0"/>
        <w:widowControl w:val="0"/>
        <w:kinsoku/>
        <w:wordWrap/>
        <w:overflowPunct/>
        <w:topLinePunct w:val="0"/>
        <w:autoSpaceDE/>
        <w:autoSpaceDN/>
        <w:bidi w:val="0"/>
        <w:spacing w:line="590" w:lineRule="exact"/>
        <w:ind w:left="0" w:leftChars="0" w:right="0" w:rightChars="0" w:firstLine="0" w:firstLineChars="0"/>
        <w:textAlignment w:val="auto"/>
        <w:rPr>
          <w:rFonts w:hint="eastAsia"/>
        </w:rPr>
      </w:pPr>
      <w:r>
        <w:rPr>
          <w:rFonts w:hint="eastAsia"/>
        </w:rPr>
        <w:t>各乡镇人民政府、街道办事处，区直各部门：</w:t>
      </w:r>
    </w:p>
    <w:p w14:paraId="5DEA5F4E">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为进一步规范政府投资项目工程变更签证管理，保证工程质量，提高政府投资效益，结合《禹会区政府投资项目工程变更签证管理暂行办法》（禹政办〔2011〕3号）实施情况，特制定本补充规定，请各部门遵照执行。</w:t>
      </w:r>
    </w:p>
    <w:p w14:paraId="11CC468E">
      <w:pPr>
        <w:pageBreakBefore w:val="0"/>
        <w:widowControl w:val="0"/>
        <w:kinsoku/>
        <w:wordWrap/>
        <w:overflowPunct/>
        <w:topLinePunct w:val="0"/>
        <w:autoSpaceDE/>
        <w:autoSpaceDN/>
        <w:bidi w:val="0"/>
        <w:spacing w:line="590" w:lineRule="exact"/>
        <w:ind w:leftChars="0" w:right="0" w:rightChars="0"/>
        <w:textAlignment w:val="auto"/>
        <w:rPr>
          <w:rFonts w:hint="eastAsia"/>
        </w:rPr>
      </w:pPr>
    </w:p>
    <w:p w14:paraId="41325C85">
      <w:pPr>
        <w:keepNext w:val="0"/>
        <w:keepLines w:val="0"/>
        <w:pageBreakBefore w:val="0"/>
        <w:widowControl w:val="0"/>
        <w:kinsoku/>
        <w:wordWrap/>
        <w:overflowPunct/>
        <w:topLinePunct w:val="0"/>
        <w:autoSpaceDE/>
        <w:autoSpaceDN/>
        <w:bidi w:val="0"/>
        <w:adjustRightInd w:val="0"/>
        <w:snapToGrid w:val="0"/>
        <w:spacing w:line="590" w:lineRule="exact"/>
        <w:ind w:leftChars="0" w:right="640" w:rightChars="200" w:firstLine="0" w:firstLineChars="0"/>
        <w:jc w:val="right"/>
        <w:textAlignment w:val="auto"/>
        <w:rPr>
          <w:rFonts w:hint="default" w:eastAsia="方正仿宋_GBK"/>
          <w:lang w:val="en-US" w:eastAsia="zh-CN"/>
        </w:rPr>
      </w:pPr>
      <w:r>
        <w:rPr>
          <w:rFonts w:hint="eastAsia"/>
          <w:lang w:val="en-US" w:eastAsia="zh-CN"/>
        </w:rPr>
        <w:t>蚌埠市禹会区政府办公室</w:t>
      </w:r>
    </w:p>
    <w:p w14:paraId="74EDC972">
      <w:pPr>
        <w:keepNext w:val="0"/>
        <w:keepLines w:val="0"/>
        <w:pageBreakBefore w:val="0"/>
        <w:widowControl w:val="0"/>
        <w:kinsoku/>
        <w:wordWrap/>
        <w:overflowPunct/>
        <w:topLinePunct w:val="0"/>
        <w:autoSpaceDE/>
        <w:autoSpaceDN/>
        <w:bidi w:val="0"/>
        <w:adjustRightInd w:val="0"/>
        <w:snapToGrid w:val="0"/>
        <w:spacing w:line="590" w:lineRule="exact"/>
        <w:ind w:leftChars="0" w:right="1184" w:rightChars="370" w:firstLine="0" w:firstLineChars="0"/>
        <w:jc w:val="right"/>
        <w:textAlignment w:val="auto"/>
        <w:rPr>
          <w:rFonts w:hint="default" w:eastAsia="方正仿宋_GBK"/>
          <w:lang w:val="en-US" w:eastAsia="zh-CN"/>
        </w:rPr>
      </w:pPr>
      <w:r>
        <w:rPr>
          <w:rFonts w:hint="eastAsia"/>
          <w:lang w:val="en-US" w:eastAsia="zh-CN"/>
        </w:rPr>
        <w:t>2012</w:t>
      </w:r>
      <w:r>
        <w:rPr>
          <w:rFonts w:hint="eastAsia"/>
        </w:rPr>
        <w:t>年</w:t>
      </w:r>
      <w:r>
        <w:rPr>
          <w:rFonts w:hint="eastAsia"/>
          <w:lang w:val="en-US" w:eastAsia="zh-CN"/>
        </w:rPr>
        <w:t>6</w:t>
      </w:r>
      <w:r>
        <w:rPr>
          <w:rFonts w:hint="eastAsia"/>
        </w:rPr>
        <w:t>月</w:t>
      </w:r>
      <w:r>
        <w:rPr>
          <w:rFonts w:hint="eastAsia"/>
          <w:lang w:val="en-US" w:eastAsia="zh-CN"/>
        </w:rPr>
        <w:t>1</w:t>
      </w:r>
      <w:r>
        <w:rPr>
          <w:rFonts w:hint="eastAsia"/>
        </w:rPr>
        <w:t>日</w:t>
      </w:r>
    </w:p>
    <w:p w14:paraId="5A09BE1F">
      <w:pPr>
        <w:pStyle w:val="5"/>
        <w:pageBreakBefore w:val="0"/>
        <w:widowControl w:val="0"/>
        <w:kinsoku/>
        <w:wordWrap/>
        <w:overflowPunct/>
        <w:topLinePunct w:val="0"/>
        <w:autoSpaceDE/>
        <w:autoSpaceDN/>
        <w:bidi w:val="0"/>
        <w:spacing w:beforeLines="0" w:afterLines="0" w:line="590" w:lineRule="exact"/>
        <w:ind w:leftChars="0" w:right="0" w:rightChars="0"/>
        <w:textAlignment w:val="auto"/>
        <w:rPr>
          <w:rFonts w:hint="eastAsia"/>
        </w:rPr>
      </w:pPr>
    </w:p>
    <w:p w14:paraId="47632F02">
      <w:pPr>
        <w:pageBreakBefore w:val="0"/>
        <w:widowControl w:val="0"/>
        <w:kinsoku/>
        <w:wordWrap/>
        <w:overflowPunct/>
        <w:topLinePunct w:val="0"/>
        <w:autoSpaceDE/>
        <w:autoSpaceDN/>
        <w:bidi w:val="0"/>
        <w:spacing w:line="590" w:lineRule="exact"/>
        <w:ind w:leftChars="0" w:right="0" w:rightChars="0"/>
        <w:textAlignment w:val="auto"/>
        <w:rPr>
          <w:rFonts w:hint="eastAsia" w:ascii="仿宋_GB2312"/>
          <w:szCs w:val="32"/>
        </w:rPr>
      </w:pPr>
    </w:p>
    <w:p w14:paraId="426DFC53">
      <w:pPr>
        <w:pageBreakBefore w:val="0"/>
        <w:widowControl w:val="0"/>
        <w:kinsoku/>
        <w:wordWrap/>
        <w:overflowPunct/>
        <w:topLinePunct w:val="0"/>
        <w:autoSpaceDE/>
        <w:autoSpaceDN/>
        <w:bidi w:val="0"/>
        <w:spacing w:line="590" w:lineRule="exact"/>
        <w:ind w:leftChars="0" w:right="0" w:rightChars="0"/>
        <w:textAlignment w:val="auto"/>
        <w:rPr>
          <w:rFonts w:hint="eastAsia" w:ascii="仿宋_GB2312"/>
          <w:szCs w:val="32"/>
        </w:rPr>
      </w:pPr>
    </w:p>
    <w:p w14:paraId="43BF0E56">
      <w:pPr>
        <w:pageBreakBefore w:val="0"/>
        <w:widowControl w:val="0"/>
        <w:kinsoku/>
        <w:wordWrap/>
        <w:overflowPunct/>
        <w:topLinePunct w:val="0"/>
        <w:autoSpaceDE/>
        <w:autoSpaceDN/>
        <w:bidi w:val="0"/>
        <w:spacing w:line="590" w:lineRule="exact"/>
        <w:ind w:leftChars="0" w:right="0" w:rightChars="0"/>
        <w:textAlignment w:val="auto"/>
        <w:rPr>
          <w:rFonts w:hint="eastAsia" w:ascii="仿宋_GB2312"/>
          <w:szCs w:val="32"/>
        </w:rPr>
      </w:pPr>
    </w:p>
    <w:p w14:paraId="15AE50C6">
      <w:pPr>
        <w:pageBreakBefore w:val="0"/>
        <w:widowControl w:val="0"/>
        <w:kinsoku/>
        <w:wordWrap/>
        <w:overflowPunct/>
        <w:topLinePunct w:val="0"/>
        <w:autoSpaceDE/>
        <w:autoSpaceDN/>
        <w:bidi w:val="0"/>
        <w:spacing w:line="590" w:lineRule="exact"/>
        <w:ind w:left="0" w:leftChars="0" w:right="0" w:rightChars="0" w:firstLine="0" w:firstLineChars="0"/>
        <w:textAlignment w:val="auto"/>
        <w:rPr>
          <w:rFonts w:hint="eastAsia" w:ascii="仿宋_GB2312"/>
          <w:szCs w:val="32"/>
        </w:rPr>
      </w:pPr>
    </w:p>
    <w:p w14:paraId="28FDB1E6">
      <w:pPr>
        <w:pStyle w:val="2"/>
        <w:pageBreakBefore w:val="0"/>
        <w:widowControl w:val="0"/>
        <w:kinsoku/>
        <w:wordWrap/>
        <w:overflowPunct/>
        <w:topLinePunct w:val="0"/>
        <w:autoSpaceDE/>
        <w:autoSpaceDN/>
        <w:bidi w:val="0"/>
        <w:spacing w:beforeLines="0" w:afterLines="0" w:line="590" w:lineRule="exact"/>
        <w:ind w:leftChars="0" w:right="0" w:rightChars="0"/>
        <w:textAlignment w:val="auto"/>
        <w:rPr>
          <w:rFonts w:hint="eastAsia"/>
        </w:rPr>
      </w:pPr>
    </w:p>
    <w:p w14:paraId="6BB0BF20">
      <w:pPr>
        <w:pStyle w:val="2"/>
        <w:pageBreakBefore w:val="0"/>
        <w:widowControl w:val="0"/>
        <w:kinsoku/>
        <w:wordWrap/>
        <w:overflowPunct/>
        <w:topLinePunct w:val="0"/>
        <w:autoSpaceDE/>
        <w:autoSpaceDN/>
        <w:bidi w:val="0"/>
        <w:adjustRightInd w:val="0"/>
        <w:snapToGrid w:val="0"/>
        <w:spacing w:beforeLines="0" w:afterLines="0" w:line="590" w:lineRule="exact"/>
        <w:ind w:leftChars="0" w:right="0" w:rightChars="0" w:firstLine="0" w:firstLineChars="0"/>
        <w:textAlignment w:val="auto"/>
        <w:rPr>
          <w:rFonts w:hint="eastAsia"/>
        </w:rPr>
      </w:pPr>
      <w:r>
        <w:rPr>
          <w:rFonts w:hint="eastAsia"/>
        </w:rPr>
        <w:t>禹会区政府投资项目工程变更签证</w:t>
      </w:r>
    </w:p>
    <w:p w14:paraId="278998E4">
      <w:pPr>
        <w:pStyle w:val="2"/>
        <w:pageBreakBefore w:val="0"/>
        <w:widowControl w:val="0"/>
        <w:kinsoku/>
        <w:wordWrap/>
        <w:overflowPunct/>
        <w:topLinePunct w:val="0"/>
        <w:autoSpaceDE/>
        <w:autoSpaceDN/>
        <w:bidi w:val="0"/>
        <w:adjustRightInd w:val="0"/>
        <w:snapToGrid w:val="0"/>
        <w:spacing w:beforeLines="0" w:afterLines="0" w:line="590" w:lineRule="exact"/>
        <w:ind w:leftChars="0" w:right="0" w:rightChars="0" w:firstLine="0" w:firstLineChars="0"/>
        <w:textAlignment w:val="auto"/>
        <w:rPr>
          <w:rFonts w:hint="eastAsia" w:ascii="方正小标宋_GBK" w:eastAsia="方正小标宋_GBK"/>
          <w:szCs w:val="44"/>
        </w:rPr>
      </w:pPr>
      <w:r>
        <w:rPr>
          <w:rFonts w:hint="eastAsia"/>
        </w:rPr>
        <w:t>管理补充规定</w:t>
      </w:r>
    </w:p>
    <w:p w14:paraId="346368E0">
      <w:pPr>
        <w:pageBreakBefore w:val="0"/>
        <w:widowControl w:val="0"/>
        <w:kinsoku/>
        <w:wordWrap/>
        <w:overflowPunct/>
        <w:topLinePunct w:val="0"/>
        <w:autoSpaceDE/>
        <w:autoSpaceDN/>
        <w:bidi w:val="0"/>
        <w:adjustRightInd w:val="0"/>
        <w:snapToGrid w:val="0"/>
        <w:spacing w:line="590" w:lineRule="exact"/>
        <w:ind w:leftChars="0" w:right="0" w:rightChars="0" w:firstLine="0" w:firstLineChars="0"/>
        <w:jc w:val="center"/>
        <w:textAlignment w:val="auto"/>
        <w:rPr>
          <w:rFonts w:hint="eastAsia" w:ascii="楷体_GB2312" w:eastAsia="楷体_GB2312"/>
          <w:b/>
          <w:bCs/>
        </w:rPr>
      </w:pPr>
    </w:p>
    <w:p w14:paraId="0B5153F3">
      <w:pPr>
        <w:pStyle w:val="3"/>
        <w:pageBreakBefore w:val="0"/>
        <w:widowControl w:val="0"/>
        <w:numPr>
          <w:ilvl w:val="0"/>
          <w:numId w:val="0"/>
        </w:numPr>
        <w:kinsoku/>
        <w:wordWrap/>
        <w:overflowPunct/>
        <w:topLinePunct w:val="0"/>
        <w:autoSpaceDE/>
        <w:autoSpaceDN/>
        <w:bidi w:val="0"/>
        <w:adjustRightInd w:val="0"/>
        <w:snapToGrid w:val="0"/>
        <w:spacing w:beforeLines="0" w:afterLines="0" w:line="590" w:lineRule="exact"/>
        <w:ind w:left="0" w:leftChars="0" w:right="0" w:rightChars="0" w:firstLine="0" w:firstLineChars="0"/>
        <w:jc w:val="center"/>
        <w:textAlignment w:val="auto"/>
        <w:rPr>
          <w:rFonts w:hint="eastAsia"/>
          <w:b w:val="0"/>
          <w:bCs w:val="0"/>
        </w:rPr>
      </w:pPr>
      <w:r>
        <w:rPr>
          <w:rFonts w:hint="eastAsia" w:cs="Times New Roman"/>
          <w:b w:val="0"/>
          <w:bCs w:val="0"/>
          <w:kern w:val="2"/>
          <w:sz w:val="32"/>
          <w:szCs w:val="24"/>
          <w:lang w:val="en-US" w:eastAsia="zh-CN" w:bidi="ar-SA"/>
        </w:rPr>
        <w:t xml:space="preserve">第一章  </w:t>
      </w:r>
      <w:r>
        <w:rPr>
          <w:rFonts w:hint="eastAsia"/>
          <w:b w:val="0"/>
          <w:bCs w:val="0"/>
        </w:rPr>
        <w:t>总则</w:t>
      </w:r>
    </w:p>
    <w:p w14:paraId="3A2B0C19">
      <w:pPr>
        <w:pageBreakBefore w:val="0"/>
        <w:widowControl w:val="0"/>
        <w:numPr>
          <w:ilvl w:val="0"/>
          <w:numId w:val="0"/>
        </w:numPr>
        <w:kinsoku/>
        <w:wordWrap/>
        <w:overflowPunct/>
        <w:topLinePunct w:val="0"/>
        <w:autoSpaceDE/>
        <w:autoSpaceDN/>
        <w:bidi w:val="0"/>
        <w:adjustRightInd w:val="0"/>
        <w:snapToGrid w:val="0"/>
        <w:spacing w:line="590" w:lineRule="exact"/>
        <w:ind w:leftChars="0" w:right="0" w:rightChars="0" w:firstLine="0" w:firstLineChars="0"/>
        <w:textAlignment w:val="auto"/>
        <w:rPr>
          <w:rFonts w:hint="eastAsia"/>
        </w:rPr>
      </w:pPr>
    </w:p>
    <w:p w14:paraId="4803825C">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第一条  </w:t>
      </w:r>
      <w:r>
        <w:rPr>
          <w:rFonts w:hint="eastAsia"/>
        </w:rPr>
        <w:t>本补充规定适用于我区政府运用国家、省、市预算内（外）资金和区财政资金、国债资金等进行的大型工程建设项目。</w:t>
      </w:r>
    </w:p>
    <w:p w14:paraId="1E0B9164">
      <w:pPr>
        <w:pageBreakBefore w:val="0"/>
        <w:widowControl w:val="0"/>
        <w:numPr>
          <w:ilvl w:val="0"/>
          <w:numId w:val="0"/>
        </w:numPr>
        <w:kinsoku/>
        <w:wordWrap/>
        <w:overflowPunct/>
        <w:topLinePunct w:val="0"/>
        <w:autoSpaceDE/>
        <w:autoSpaceDN/>
        <w:bidi w:val="0"/>
        <w:spacing w:line="590" w:lineRule="exact"/>
        <w:ind w:left="0" w:leftChars="0" w:right="0" w:rightChars="0" w:firstLine="640" w:firstLineChars="200"/>
        <w:textAlignment w:val="auto"/>
      </w:pPr>
      <w:r>
        <w:rPr>
          <w:rStyle w:val="19"/>
          <w:rFonts w:hint="eastAsia"/>
          <w:lang w:val="en-US" w:eastAsia="zh-CN"/>
        </w:rPr>
        <w:t xml:space="preserve">第二条  </w:t>
      </w:r>
      <w:r>
        <w:rPr>
          <w:rFonts w:hint="eastAsia"/>
        </w:rPr>
        <w:t>工程变更包括两种情况，一是设计变更（工程量变更），二是工期变更。鉴于</w:t>
      </w:r>
      <w:r>
        <w:t>工程合同不可能对整个施工期间可能出现的情况作出完整的预见和约定，当在施工中发生与设计图纸、施工方案、</w:t>
      </w:r>
      <w:r>
        <w:rPr>
          <w:rFonts w:hint="eastAsia"/>
        </w:rPr>
        <w:t>材料变更、</w:t>
      </w:r>
      <w:r>
        <w:t>预算项目或工程量不相符时，需要调整工程造价、进行工期顺延、经济索赔等，从而产生了工程签证。它是合同的补充协议，是工程结算的凭据。</w:t>
      </w:r>
    </w:p>
    <w:p w14:paraId="0041E709">
      <w:pPr>
        <w:pageBreakBefore w:val="0"/>
        <w:widowControl w:val="0"/>
        <w:numPr>
          <w:ilvl w:val="0"/>
          <w:numId w:val="0"/>
        </w:numPr>
        <w:kinsoku/>
        <w:wordWrap/>
        <w:overflowPunct/>
        <w:topLinePunct w:val="0"/>
        <w:autoSpaceDE/>
        <w:autoSpaceDN/>
        <w:bidi w:val="0"/>
        <w:spacing w:line="590" w:lineRule="exact"/>
        <w:ind w:leftChars="0" w:right="0" w:rightChars="0"/>
        <w:textAlignment w:val="auto"/>
        <w:rPr>
          <w:rFonts w:hint="eastAsia"/>
        </w:rPr>
      </w:pPr>
    </w:p>
    <w:p w14:paraId="6114FCF1">
      <w:pPr>
        <w:pStyle w:val="3"/>
        <w:pageBreakBefore w:val="0"/>
        <w:widowControl w:val="0"/>
        <w:numPr>
          <w:ilvl w:val="0"/>
          <w:numId w:val="0"/>
        </w:numPr>
        <w:kinsoku/>
        <w:wordWrap/>
        <w:overflowPunct/>
        <w:topLinePunct w:val="0"/>
        <w:autoSpaceDE/>
        <w:autoSpaceDN/>
        <w:bidi w:val="0"/>
        <w:spacing w:beforeLines="0" w:afterLines="0" w:line="590" w:lineRule="exact"/>
        <w:ind w:left="0" w:leftChars="0" w:right="0" w:rightChars="0" w:firstLine="640" w:firstLineChars="200"/>
        <w:jc w:val="center"/>
        <w:textAlignment w:val="auto"/>
        <w:rPr>
          <w:rFonts w:hint="eastAsia"/>
          <w:b w:val="0"/>
          <w:bCs w:val="0"/>
        </w:rPr>
      </w:pPr>
      <w:r>
        <w:rPr>
          <w:rFonts w:hint="eastAsia" w:cs="Times New Roman"/>
          <w:b w:val="0"/>
          <w:bCs w:val="0"/>
          <w:kern w:val="2"/>
          <w:sz w:val="32"/>
          <w:szCs w:val="24"/>
          <w:lang w:val="en-US" w:eastAsia="zh-CN" w:bidi="ar-SA"/>
        </w:rPr>
        <w:t xml:space="preserve">第二章  </w:t>
      </w:r>
      <w:r>
        <w:rPr>
          <w:rFonts w:hint="eastAsia"/>
          <w:b w:val="0"/>
          <w:bCs w:val="0"/>
        </w:rPr>
        <w:t>设计变更和</w:t>
      </w:r>
      <w:r>
        <w:rPr>
          <w:b w:val="0"/>
          <w:bCs w:val="0"/>
        </w:rPr>
        <w:t>工程签证的</w:t>
      </w:r>
      <w:r>
        <w:rPr>
          <w:rFonts w:hint="eastAsia"/>
          <w:b w:val="0"/>
          <w:bCs w:val="0"/>
        </w:rPr>
        <w:t>划分和要求</w:t>
      </w:r>
    </w:p>
    <w:p w14:paraId="5DADC0F0">
      <w:pPr>
        <w:pageBreakBefore w:val="0"/>
        <w:widowControl w:val="0"/>
        <w:numPr>
          <w:ilvl w:val="0"/>
          <w:numId w:val="0"/>
        </w:numPr>
        <w:kinsoku/>
        <w:wordWrap/>
        <w:overflowPunct/>
        <w:topLinePunct w:val="0"/>
        <w:autoSpaceDE/>
        <w:autoSpaceDN/>
        <w:bidi w:val="0"/>
        <w:spacing w:line="590" w:lineRule="exact"/>
        <w:ind w:leftChars="0" w:right="0" w:rightChars="0"/>
        <w:textAlignment w:val="auto"/>
        <w:rPr>
          <w:rFonts w:hint="eastAsia"/>
        </w:rPr>
      </w:pPr>
    </w:p>
    <w:p w14:paraId="51171B55">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第三条 </w:t>
      </w:r>
      <w:r>
        <w:rPr>
          <w:rStyle w:val="19"/>
          <w:rFonts w:hint="eastAsia" w:eastAsia="方正黑体_GBK"/>
          <w:lang w:val="en-US" w:eastAsia="zh-CN"/>
        </w:rPr>
        <w:t xml:space="preserve"> </w:t>
      </w:r>
      <w:r>
        <w:rPr>
          <w:rFonts w:hint="eastAsia"/>
        </w:rPr>
        <w:t>设计变更和</w:t>
      </w:r>
      <w:r>
        <w:t>工程签证的</w:t>
      </w:r>
      <w:r>
        <w:rPr>
          <w:rFonts w:hint="eastAsia"/>
        </w:rPr>
        <w:t>划分：</w:t>
      </w:r>
    </w:p>
    <w:p w14:paraId="394CFA3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（一）可签证内容：</w:t>
      </w:r>
    </w:p>
    <w:p w14:paraId="2C7817AC">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1.基础土石方工程量（开挖、平整、回填、场区内倒转、外运、购买、强夯及地下障碍物的拆除与处理等等</w:t>
      </w:r>
      <w:r>
        <w:t>）</w:t>
      </w:r>
      <w:r>
        <w:rPr>
          <w:rFonts w:hint="eastAsia"/>
        </w:rPr>
        <w:t>。</w:t>
      </w:r>
    </w:p>
    <w:p w14:paraId="33FE3C11">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2.地基及基础处理工程量（凡依施工图纸不能计算的）。</w:t>
      </w:r>
    </w:p>
    <w:p w14:paraId="6B737755">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3.因设计变更造成的工程量增减。</w:t>
      </w:r>
    </w:p>
    <w:p w14:paraId="477FBBD4">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4.因材料变更造成的价格增减。</w:t>
      </w:r>
    </w:p>
    <w:p w14:paraId="358713E3">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5.非施工方原因造成的工程返工、质量处理产生的工程量、人员、机械经济损失及工期延误。</w:t>
      </w:r>
    </w:p>
    <w:p w14:paraId="403EF9C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6.零星用工、机械台班（施工现场发生的与主体工程施工无关的用工，如定额费用以外的搬运、拆除用工等）。</w:t>
      </w:r>
    </w:p>
    <w:p w14:paraId="0046227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7.临时设施增补项目、零星工程、隐蔽工程签证。</w:t>
      </w:r>
    </w:p>
    <w:p w14:paraId="75209D2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8.其他需要实测、实量、实际询价的。</w:t>
      </w:r>
    </w:p>
    <w:p w14:paraId="21D4C90E">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（二）不可签证内容：</w:t>
      </w:r>
    </w:p>
    <w:p w14:paraId="34761EEB">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1.属于施工因素增加费范围的内容。</w:t>
      </w:r>
    </w:p>
    <w:p w14:paraId="5525864C">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2.合同或协议中规定包干支付的有关事项。</w:t>
      </w:r>
    </w:p>
    <w:p w14:paraId="44216BA3">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3.因施工方原因发生施工质量造成的损失。</w:t>
      </w:r>
    </w:p>
    <w:p w14:paraId="1D21CD01">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4.组织施工不当造成的停工、窝工等损失。</w:t>
      </w:r>
    </w:p>
    <w:p w14:paraId="25578E94">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5.违规操作造成的停水、停电和安全事故损失。</w:t>
      </w:r>
    </w:p>
    <w:p w14:paraId="0E5A29C5">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6.施工方为增加利润提出的要求及虚报工程内容增加的费用。</w:t>
      </w:r>
    </w:p>
    <w:p w14:paraId="230C4EDC">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7.与工程没有直接关系的人工、材料、机械使用费。</w:t>
      </w:r>
    </w:p>
    <w:p w14:paraId="39B01DFE">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8.施工方由于自身原因造成工程无法计量或隐蔽工程未经过验收就进行下一步施工的、</w:t>
      </w:r>
    </w:p>
    <w:p w14:paraId="018B1D01">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9.其他因施工方责任而增加的费用。</w:t>
      </w:r>
    </w:p>
    <w:p w14:paraId="622CE9EF">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第四条 </w:t>
      </w:r>
      <w:r>
        <w:rPr>
          <w:rStyle w:val="19"/>
          <w:rFonts w:hint="eastAsia" w:eastAsia="方正黑体_GBK"/>
          <w:lang w:val="en-US" w:eastAsia="zh-CN"/>
        </w:rPr>
        <w:t xml:space="preserve"> </w:t>
      </w:r>
      <w:r>
        <w:rPr>
          <w:rFonts w:hint="eastAsia"/>
        </w:rPr>
        <w:t>设计变更和</w:t>
      </w:r>
      <w:r>
        <w:t>工程签证的</w:t>
      </w:r>
      <w:r>
        <w:rPr>
          <w:rFonts w:hint="eastAsia"/>
        </w:rPr>
        <w:t>要求：</w:t>
      </w:r>
    </w:p>
    <w:p w14:paraId="7FFDFDE1">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w:t>
      </w:r>
      <w:r>
        <w:t>形式规范：</w:t>
      </w:r>
    </w:p>
    <w:p w14:paraId="5B712298">
      <w:pPr>
        <w:pageBreakBefore w:val="0"/>
        <w:widowControl w:val="0"/>
        <w:kinsoku/>
        <w:wordWrap/>
        <w:overflowPunct/>
        <w:topLinePunct w:val="0"/>
        <w:autoSpaceDE/>
        <w:autoSpaceDN/>
        <w:bidi w:val="0"/>
        <w:spacing w:line="590" w:lineRule="exact"/>
        <w:ind w:leftChars="0" w:right="0" w:rightChars="0"/>
        <w:textAlignment w:val="auto"/>
        <w:rPr>
          <w:rFonts w:hint="eastAsia"/>
        </w:rPr>
      </w:pPr>
      <w:r>
        <w:t>签证</w:t>
      </w:r>
      <w:r>
        <w:rPr>
          <w:rFonts w:hint="eastAsia"/>
        </w:rPr>
        <w:t>应</w:t>
      </w:r>
      <w:r>
        <w:t>采用统一格式的《工程签证单》，一式</w:t>
      </w:r>
      <w:r>
        <w:rPr>
          <w:rFonts w:hint="eastAsia"/>
        </w:rPr>
        <w:t>四</w:t>
      </w:r>
      <w:r>
        <w:t>联且连续编号，</w:t>
      </w:r>
      <w:r>
        <w:rPr>
          <w:rFonts w:hint="eastAsia"/>
        </w:rPr>
        <w:t>建设单位、监理单位、跟踪审计单位、</w:t>
      </w:r>
      <w:r>
        <w:t>施工</w:t>
      </w:r>
      <w:r>
        <w:rPr>
          <w:rFonts w:hint="eastAsia"/>
        </w:rPr>
        <w:t>单位各</w:t>
      </w:r>
      <w:r>
        <w:t>执一联以作为结算凭证。</w:t>
      </w:r>
    </w:p>
    <w:p w14:paraId="33D5A68D">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（二）</w:t>
      </w:r>
      <w:r>
        <w:t>内容真实：</w:t>
      </w:r>
    </w:p>
    <w:p w14:paraId="0444F6E8">
      <w:pPr>
        <w:pageBreakBefore w:val="0"/>
        <w:widowControl w:val="0"/>
        <w:kinsoku/>
        <w:wordWrap/>
        <w:overflowPunct/>
        <w:topLinePunct w:val="0"/>
        <w:autoSpaceDE/>
        <w:autoSpaceDN/>
        <w:bidi w:val="0"/>
        <w:spacing w:line="590" w:lineRule="exact"/>
        <w:ind w:leftChars="0" w:right="0" w:rightChars="0"/>
        <w:textAlignment w:val="auto"/>
        <w:rPr>
          <w:rFonts w:hint="eastAsia"/>
        </w:rPr>
      </w:pPr>
      <w:r>
        <w:t>工程签证内容须实事求是，数据真实可靠，相关资料齐全。</w:t>
      </w:r>
    </w:p>
    <w:p w14:paraId="71E12868">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（三）</w:t>
      </w:r>
      <w:r>
        <w:t>验审及时：</w:t>
      </w:r>
    </w:p>
    <w:p w14:paraId="4F8D1BF4">
      <w:pPr>
        <w:pageBreakBefore w:val="0"/>
        <w:widowControl w:val="0"/>
        <w:kinsoku/>
        <w:wordWrap/>
        <w:overflowPunct/>
        <w:topLinePunct w:val="0"/>
        <w:autoSpaceDE/>
        <w:autoSpaceDN/>
        <w:bidi w:val="0"/>
        <w:spacing w:line="590" w:lineRule="exact"/>
        <w:ind w:leftChars="0" w:right="0" w:rightChars="0"/>
        <w:textAlignment w:val="auto"/>
      </w:pPr>
      <w:r>
        <w:t>施工方</w:t>
      </w:r>
      <w:r>
        <w:rPr>
          <w:rFonts w:hint="eastAsia"/>
        </w:rPr>
        <w:t>应</w:t>
      </w:r>
      <w:r>
        <w:t>在</w:t>
      </w:r>
      <w:r>
        <w:rPr>
          <w:rFonts w:hint="eastAsia"/>
        </w:rPr>
        <w:t>分部</w:t>
      </w:r>
      <w:r>
        <w:t>工程</w:t>
      </w:r>
      <w:r>
        <w:rPr>
          <w:rFonts w:hint="eastAsia"/>
        </w:rPr>
        <w:t>隐蔽前</w:t>
      </w:r>
      <w:r>
        <w:t>及时通知</w:t>
      </w:r>
      <w:r>
        <w:rPr>
          <w:rFonts w:hint="eastAsia"/>
        </w:rPr>
        <w:t>建设、</w:t>
      </w:r>
      <w:r>
        <w:t>监理</w:t>
      </w:r>
      <w:r>
        <w:rPr>
          <w:rFonts w:hint="eastAsia"/>
        </w:rPr>
        <w:t>、审计单位</w:t>
      </w:r>
      <w:r>
        <w:t>办理工程量验收和签证。如</w:t>
      </w:r>
      <w:r>
        <w:rPr>
          <w:rFonts w:hint="eastAsia"/>
        </w:rPr>
        <w:t>隐蔽前</w:t>
      </w:r>
      <w:r>
        <w:t>不能及时办理正式签证，可根据草签的验收记录</w:t>
      </w:r>
      <w:r>
        <w:rPr>
          <w:rFonts w:hint="eastAsia"/>
        </w:rPr>
        <w:t>7</w:t>
      </w:r>
      <w:r>
        <w:t>日内补办正式签证。</w:t>
      </w:r>
    </w:p>
    <w:p w14:paraId="391492AF">
      <w:pPr>
        <w:pageBreakBefore w:val="0"/>
        <w:widowControl w:val="0"/>
        <w:kinsoku/>
        <w:wordWrap/>
        <w:overflowPunct/>
        <w:topLinePunct w:val="0"/>
        <w:autoSpaceDE/>
        <w:autoSpaceDN/>
        <w:bidi w:val="0"/>
        <w:spacing w:line="590" w:lineRule="exact"/>
        <w:ind w:leftChars="0" w:right="0" w:rightChars="0"/>
        <w:textAlignment w:val="auto"/>
        <w:rPr>
          <w:rFonts w:hint="eastAsia"/>
        </w:rPr>
      </w:pPr>
    </w:p>
    <w:p w14:paraId="396F26D6">
      <w:pPr>
        <w:pStyle w:val="3"/>
        <w:pageBreakBefore w:val="0"/>
        <w:widowControl w:val="0"/>
        <w:numPr>
          <w:ilvl w:val="0"/>
          <w:numId w:val="0"/>
        </w:numPr>
        <w:kinsoku/>
        <w:wordWrap/>
        <w:overflowPunct/>
        <w:topLinePunct w:val="0"/>
        <w:autoSpaceDE/>
        <w:autoSpaceDN/>
        <w:bidi w:val="0"/>
        <w:spacing w:beforeLines="0" w:afterLines="0" w:line="590" w:lineRule="exact"/>
        <w:ind w:left="0" w:leftChars="0" w:right="0" w:rightChars="0" w:firstLine="640" w:firstLineChars="200"/>
        <w:jc w:val="center"/>
        <w:textAlignment w:val="auto"/>
        <w:rPr>
          <w:rFonts w:hint="eastAsia"/>
        </w:rPr>
      </w:pPr>
      <w:r>
        <w:rPr>
          <w:rFonts w:hint="eastAsia" w:cs="Times New Roman"/>
          <w:kern w:val="2"/>
          <w:sz w:val="32"/>
          <w:szCs w:val="24"/>
          <w:lang w:val="en-US" w:eastAsia="zh-CN" w:bidi="ar-SA"/>
        </w:rPr>
        <w:t xml:space="preserve">第三章  </w:t>
      </w:r>
      <w:r>
        <w:rPr>
          <w:rFonts w:hint="eastAsia"/>
        </w:rPr>
        <w:t>设计变更和</w:t>
      </w:r>
      <w:r>
        <w:t>工程签证的</w:t>
      </w:r>
      <w:r>
        <w:rPr>
          <w:rFonts w:hint="eastAsia"/>
        </w:rPr>
        <w:t>办理程序</w:t>
      </w:r>
    </w:p>
    <w:p w14:paraId="0A62E665">
      <w:pPr>
        <w:pageBreakBefore w:val="0"/>
        <w:widowControl w:val="0"/>
        <w:numPr>
          <w:ilvl w:val="0"/>
          <w:numId w:val="0"/>
        </w:numPr>
        <w:kinsoku/>
        <w:wordWrap/>
        <w:overflowPunct/>
        <w:topLinePunct w:val="0"/>
        <w:autoSpaceDE/>
        <w:autoSpaceDN/>
        <w:bidi w:val="0"/>
        <w:spacing w:line="590" w:lineRule="exact"/>
        <w:ind w:leftChars="0" w:right="0" w:rightChars="0"/>
        <w:textAlignment w:val="auto"/>
        <w:rPr>
          <w:rFonts w:hint="eastAsia"/>
        </w:rPr>
      </w:pPr>
    </w:p>
    <w:p w14:paraId="354DFA0A">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第五条 </w:t>
      </w:r>
      <w:r>
        <w:rPr>
          <w:rStyle w:val="19"/>
          <w:rFonts w:hint="eastAsia" w:eastAsia="方正黑体_GBK"/>
          <w:lang w:val="en-US" w:eastAsia="zh-CN"/>
        </w:rPr>
        <w:t xml:space="preserve"> </w:t>
      </w:r>
      <w:r>
        <w:t>工程设计变更签证</w:t>
      </w:r>
      <w:r>
        <w:rPr>
          <w:rFonts w:hint="eastAsia"/>
        </w:rPr>
        <w:t>办理</w:t>
      </w:r>
      <w:r>
        <w:t>程序</w:t>
      </w:r>
      <w:r>
        <w:rPr>
          <w:rFonts w:hint="eastAsia"/>
        </w:rPr>
        <w:t>：</w:t>
      </w:r>
    </w:p>
    <w:p w14:paraId="37EEBA4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w:t>
      </w:r>
      <w:r>
        <w:t>施工方经与设计图纸、施工合同和招标文件核验，认为确需发生工程设计变更时，向</w:t>
      </w:r>
      <w:r>
        <w:rPr>
          <w:rFonts w:hint="eastAsia"/>
        </w:rPr>
        <w:t>建设单位</w:t>
      </w:r>
      <w:r>
        <w:t>提出申请报告并提供相关资料</w:t>
      </w:r>
      <w:r>
        <w:rPr>
          <w:rFonts w:hint="eastAsia"/>
        </w:rPr>
        <w:t>（须经监理单位证实）</w:t>
      </w:r>
      <w:r>
        <w:t>。</w:t>
      </w:r>
    </w:p>
    <w:p w14:paraId="0E9452E6">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（二）建设、监理单位</w:t>
      </w:r>
      <w:r>
        <w:t>接到施工方预先申报后或</w:t>
      </w:r>
      <w:r>
        <w:rPr>
          <w:rFonts w:hint="eastAsia"/>
        </w:rPr>
        <w:t>建设、监理单位</w:t>
      </w:r>
      <w:r>
        <w:t>自己发现设计图纸需要变更时，</w:t>
      </w:r>
      <w:r>
        <w:rPr>
          <w:rFonts w:hint="eastAsia"/>
        </w:rPr>
        <w:t>可</w:t>
      </w:r>
      <w:r>
        <w:t>邀请设计单位和施工</w:t>
      </w:r>
      <w:r>
        <w:rPr>
          <w:rFonts w:hint="eastAsia"/>
        </w:rPr>
        <w:t>单位</w:t>
      </w:r>
      <w:r>
        <w:t>到施工现场论证。经论证后，认为需要变更设计的，</w:t>
      </w:r>
      <w:r>
        <w:rPr>
          <w:rFonts w:hint="eastAsia"/>
        </w:rPr>
        <w:t>该申请经建设单位签署意见后交由</w:t>
      </w:r>
      <w:r>
        <w:t>设计单位出具变更设计通知</w:t>
      </w:r>
      <w:r>
        <w:rPr>
          <w:rFonts w:hint="eastAsia"/>
        </w:rPr>
        <w:t>或</w:t>
      </w:r>
      <w:r>
        <w:t>变更设计图纸。</w:t>
      </w:r>
    </w:p>
    <w:p w14:paraId="1B9BF0FD">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（三）</w:t>
      </w:r>
      <w:r>
        <w:t>施工方收到变更设计图纸后，必须在《工程签证单》中填写需发生工程量等具体内容，由该工程项目经理及技术主管签名且加盖施工方公章后，并附所发生签证部分的工程图纸、说明及加盖施工方公章的预算书，一式</w:t>
      </w:r>
      <w:r>
        <w:rPr>
          <w:rFonts w:hint="eastAsia"/>
        </w:rPr>
        <w:t>四</w:t>
      </w:r>
      <w:r>
        <w:t>份报</w:t>
      </w:r>
      <w:r>
        <w:rPr>
          <w:rFonts w:hint="eastAsia"/>
        </w:rPr>
        <w:t>建设单位</w:t>
      </w:r>
      <w:r>
        <w:t>申请签证。</w:t>
      </w:r>
    </w:p>
    <w:p w14:paraId="0392F006">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（四）建设单位</w:t>
      </w:r>
      <w:r>
        <w:t>收到施工方报来的《工程签证单》及相关资料后</w:t>
      </w:r>
      <w:r>
        <w:rPr>
          <w:rFonts w:hint="eastAsia"/>
        </w:rPr>
        <w:t>（</w:t>
      </w:r>
      <w:r>
        <w:t>现场监理应先对其进行审核</w:t>
      </w:r>
      <w:r>
        <w:rPr>
          <w:rFonts w:hint="eastAsia"/>
        </w:rPr>
        <w:t>）送审计单位核算费用</w:t>
      </w:r>
      <w:r>
        <w:t>。审核中如有疑问，应通知有关人员进行澄清，根据实际情况对签证进行调整</w:t>
      </w:r>
      <w:r>
        <w:rPr>
          <w:rFonts w:hint="eastAsia"/>
        </w:rPr>
        <w:t>，</w:t>
      </w:r>
      <w:r>
        <w:t>作为工程结算时调整造价的依据。</w:t>
      </w:r>
    </w:p>
    <w:p w14:paraId="6B9FE6BF">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第六条 </w:t>
      </w:r>
      <w:r>
        <w:rPr>
          <w:rStyle w:val="19"/>
          <w:rFonts w:hint="eastAsia" w:eastAsia="方正黑体_GBK"/>
          <w:lang w:val="en-US" w:eastAsia="zh-CN"/>
        </w:rPr>
        <w:t xml:space="preserve"> </w:t>
      </w:r>
      <w:r>
        <w:t>合同外工程量签证</w:t>
      </w:r>
      <w:r>
        <w:rPr>
          <w:rFonts w:hint="eastAsia"/>
        </w:rPr>
        <w:t>办理</w:t>
      </w:r>
      <w:r>
        <w:t>程序</w:t>
      </w:r>
      <w:r>
        <w:rPr>
          <w:rFonts w:hint="eastAsia"/>
        </w:rPr>
        <w:t>：</w:t>
      </w:r>
    </w:p>
    <w:p w14:paraId="5D63080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w:t>
      </w:r>
      <w:r>
        <w:t>合同外工程量，包括零星工程和零星事项（零星用工和零星使用机械台班），发生时由施工方在《工程签证单》中填写零星工程或事项名称、位置、范围、主要工程量和增加原因等具体内容，《工程签证单》由该工程项目经理及技术主管签名并加盖施工方公章后，并附所发生签证部分工程简图、说明及加盖施工方公章的预算书，一式</w:t>
      </w:r>
      <w:r>
        <w:rPr>
          <w:rFonts w:hint="eastAsia"/>
        </w:rPr>
        <w:t>四</w:t>
      </w:r>
      <w:r>
        <w:t>份，报</w:t>
      </w:r>
      <w:r>
        <w:rPr>
          <w:rFonts w:hint="eastAsia"/>
        </w:rPr>
        <w:t>建设单位</w:t>
      </w:r>
      <w:r>
        <w:t>申请签证</w:t>
      </w:r>
      <w:r>
        <w:rPr>
          <w:rFonts w:hint="eastAsia"/>
        </w:rPr>
        <w:t>（须经监理单位证实）</w:t>
      </w:r>
      <w:r>
        <w:t>。</w:t>
      </w:r>
    </w:p>
    <w:p w14:paraId="63526682">
      <w:pPr>
        <w:pageBreakBefore w:val="0"/>
        <w:widowControl w:val="0"/>
        <w:kinsoku/>
        <w:wordWrap/>
        <w:overflowPunct/>
        <w:topLinePunct w:val="0"/>
        <w:autoSpaceDE/>
        <w:autoSpaceDN/>
        <w:bidi w:val="0"/>
        <w:spacing w:line="590" w:lineRule="exact"/>
        <w:ind w:leftChars="0" w:right="0" w:rightChars="0"/>
        <w:textAlignment w:val="auto"/>
      </w:pPr>
      <w:r>
        <w:rPr>
          <w:rFonts w:hint="eastAsia"/>
        </w:rPr>
        <w:t>（二）建设单位根据实际情况</w:t>
      </w:r>
      <w:r>
        <w:t>对零星工程量或零星事项工作量提出建议，送</w:t>
      </w:r>
      <w:r>
        <w:rPr>
          <w:rFonts w:hint="eastAsia"/>
        </w:rPr>
        <w:t>审计单位核算费用</w:t>
      </w:r>
      <w:r>
        <w:t>。</w:t>
      </w:r>
    </w:p>
    <w:p w14:paraId="584D4600">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（三）审计单位</w:t>
      </w:r>
      <w:r>
        <w:t>收到</w:t>
      </w:r>
      <w:r>
        <w:rPr>
          <w:rFonts w:hint="eastAsia"/>
        </w:rPr>
        <w:t>建设单位核准</w:t>
      </w:r>
      <w:r>
        <w:t>的《工程签证单》及相关资料后，对工程监理签证的工程量和施工方提交的预算书进行审查，并提出审查意见，作为工程结算时调整造价的依据。</w:t>
      </w:r>
    </w:p>
    <w:p w14:paraId="4237E7A2">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第七条 </w:t>
      </w:r>
      <w:r>
        <w:rPr>
          <w:rStyle w:val="19"/>
          <w:rFonts w:hint="eastAsia" w:eastAsia="方正黑体_GBK"/>
          <w:lang w:val="en-US" w:eastAsia="zh-CN"/>
        </w:rPr>
        <w:t xml:space="preserve"> </w:t>
      </w:r>
      <w:r>
        <w:rPr>
          <w:rFonts w:hint="eastAsia"/>
        </w:rPr>
        <w:t>不涉及经济变更的</w:t>
      </w:r>
      <w:r>
        <w:t>工程设计变更</w:t>
      </w:r>
      <w:r>
        <w:rPr>
          <w:rFonts w:hint="eastAsia"/>
        </w:rPr>
        <w:t>办理</w:t>
      </w:r>
      <w:r>
        <w:t>程序</w:t>
      </w:r>
      <w:r>
        <w:rPr>
          <w:rFonts w:hint="eastAsia"/>
        </w:rPr>
        <w:t>：</w:t>
      </w:r>
    </w:p>
    <w:p w14:paraId="1FBD6987">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w:t>
      </w:r>
      <w:r>
        <w:t>施工方经与设计图纸、</w:t>
      </w:r>
      <w:r>
        <w:rPr>
          <w:rFonts w:hint="eastAsia"/>
        </w:rPr>
        <w:t>施工方案、施工现场实际情况</w:t>
      </w:r>
      <w:r>
        <w:t>核验，认为确需发生工程设计变更时，向</w:t>
      </w:r>
      <w:r>
        <w:rPr>
          <w:rFonts w:hint="eastAsia"/>
        </w:rPr>
        <w:t>建设单位</w:t>
      </w:r>
      <w:r>
        <w:t>提出申请报告并提供相关资料</w:t>
      </w:r>
      <w:r>
        <w:rPr>
          <w:rFonts w:hint="eastAsia"/>
        </w:rPr>
        <w:t>（须经监理单位证实）</w:t>
      </w:r>
      <w:r>
        <w:t>。</w:t>
      </w:r>
    </w:p>
    <w:p w14:paraId="3D6DD861">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（二）建设、监理单位</w:t>
      </w:r>
      <w:r>
        <w:t>接到施工方预先申报后或</w:t>
      </w:r>
      <w:r>
        <w:rPr>
          <w:rFonts w:hint="eastAsia"/>
        </w:rPr>
        <w:t>建设、监理单位</w:t>
      </w:r>
      <w:r>
        <w:t>自己发现设计图纸需要变更时，</w:t>
      </w:r>
      <w:r>
        <w:rPr>
          <w:rFonts w:hint="eastAsia"/>
        </w:rPr>
        <w:t>可</w:t>
      </w:r>
      <w:r>
        <w:t>邀请设计单位和施工</w:t>
      </w:r>
      <w:r>
        <w:rPr>
          <w:rFonts w:hint="eastAsia"/>
        </w:rPr>
        <w:t>单位</w:t>
      </w:r>
      <w:r>
        <w:t>到施工现场论证。经论证后，认为需要变更设计的，</w:t>
      </w:r>
      <w:r>
        <w:rPr>
          <w:rFonts w:hint="eastAsia"/>
        </w:rPr>
        <w:t>该申请经建设单位签署意见后交由</w:t>
      </w:r>
      <w:r>
        <w:t>设计单位出具变更设计通知</w:t>
      </w:r>
      <w:r>
        <w:rPr>
          <w:rFonts w:hint="eastAsia"/>
        </w:rPr>
        <w:t>或</w:t>
      </w:r>
      <w:r>
        <w:t>变更设计图纸。</w:t>
      </w:r>
    </w:p>
    <w:p w14:paraId="53CF2E6A">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（三）该</w:t>
      </w:r>
      <w:r>
        <w:t>变更设计通知</w:t>
      </w:r>
      <w:r>
        <w:rPr>
          <w:rFonts w:hint="eastAsia"/>
        </w:rPr>
        <w:t>或</w:t>
      </w:r>
      <w:r>
        <w:t>变更设计图纸</w:t>
      </w:r>
      <w:r>
        <w:rPr>
          <w:rFonts w:hint="eastAsia"/>
        </w:rPr>
        <w:t>即为工程竣工验收依据。</w:t>
      </w:r>
    </w:p>
    <w:p w14:paraId="431717C6">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eastAsia="方正黑体_GBK"/>
          <w:lang w:eastAsia="zh-CN"/>
        </w:rPr>
        <w:t xml:space="preserve">第八条 </w:t>
      </w:r>
      <w:r>
        <w:rPr>
          <w:rStyle w:val="19"/>
          <w:rFonts w:hint="eastAsia" w:eastAsia="方正黑体_GBK"/>
          <w:lang w:val="en-US" w:eastAsia="zh-CN"/>
        </w:rPr>
        <w:t xml:space="preserve"> </w:t>
      </w:r>
      <w:r>
        <w:rPr>
          <w:rFonts w:hint="eastAsia"/>
        </w:rPr>
        <w:t>变更签证审批办理程序：</w:t>
      </w:r>
    </w:p>
    <w:p w14:paraId="39568784">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（一）凡变更签证预算跟踪审计后承担数额在50万元以下的，由分管区长批准。</w:t>
      </w:r>
    </w:p>
    <w:p w14:paraId="4305DF3C">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（二）凡变更签证预算跟踪审计后承担数额在50—100万元的，由分管区长审定后，报区长批准。</w:t>
      </w:r>
    </w:p>
    <w:p w14:paraId="4591A904">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三）凡变更签证预算跟踪审计后承担数额在100万元（含100万元）以上的，由项目主管部门向区发改委报送变更申请。区发改委在受理之日起2个工作日内，组织区财政局、区审计局、区监察局进行现场踏勘核实会审，并于3个工作日之内出具书面意见，项目主管部门根据会审意见报经区长办公会议同意后，由区发改委下达意见批复。</w:t>
      </w:r>
    </w:p>
    <w:p w14:paraId="6717F9B6">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Fonts w:hint="eastAsia"/>
        </w:rPr>
        <w:t>项目变更签证幅度按照《关于印发禹会区政府投资项目工程变更签证管理暂行办法的通知》（禹政办〔2011〕3号）文件执行。</w:t>
      </w:r>
    </w:p>
    <w:p w14:paraId="6C2601DA">
      <w:pPr>
        <w:pageBreakBefore w:val="0"/>
        <w:widowControl w:val="0"/>
        <w:kinsoku/>
        <w:wordWrap/>
        <w:overflowPunct/>
        <w:topLinePunct w:val="0"/>
        <w:autoSpaceDE/>
        <w:autoSpaceDN/>
        <w:bidi w:val="0"/>
        <w:spacing w:line="590" w:lineRule="exact"/>
        <w:ind w:leftChars="0" w:right="0" w:rightChars="0"/>
        <w:textAlignment w:val="auto"/>
        <w:rPr>
          <w:rFonts w:hint="eastAsia"/>
        </w:rPr>
      </w:pPr>
    </w:p>
    <w:p w14:paraId="6C6D7ADA">
      <w:pPr>
        <w:pStyle w:val="3"/>
        <w:pageBreakBefore w:val="0"/>
        <w:widowControl w:val="0"/>
        <w:numPr>
          <w:ilvl w:val="0"/>
          <w:numId w:val="0"/>
        </w:numPr>
        <w:kinsoku/>
        <w:wordWrap/>
        <w:overflowPunct/>
        <w:topLinePunct w:val="0"/>
        <w:autoSpaceDE/>
        <w:autoSpaceDN/>
        <w:bidi w:val="0"/>
        <w:spacing w:beforeLines="0" w:afterLines="0" w:line="590" w:lineRule="exact"/>
        <w:ind w:left="0" w:leftChars="0" w:right="0" w:rightChars="0" w:firstLine="640" w:firstLineChars="200"/>
        <w:jc w:val="center"/>
        <w:textAlignment w:val="auto"/>
        <w:rPr>
          <w:rFonts w:hint="eastAsia"/>
        </w:rPr>
      </w:pPr>
      <w:r>
        <w:rPr>
          <w:rFonts w:hint="eastAsia" w:cs="Times New Roman"/>
          <w:kern w:val="2"/>
          <w:sz w:val="32"/>
          <w:szCs w:val="24"/>
          <w:lang w:val="en-US" w:eastAsia="zh-CN" w:bidi="ar-SA"/>
        </w:rPr>
        <w:t xml:space="preserve">第四章  </w:t>
      </w:r>
      <w:r>
        <w:rPr>
          <w:rFonts w:hint="eastAsia"/>
        </w:rPr>
        <w:t>附则</w:t>
      </w:r>
    </w:p>
    <w:p w14:paraId="142099DC">
      <w:pPr>
        <w:pageBreakBefore w:val="0"/>
        <w:widowControl w:val="0"/>
        <w:numPr>
          <w:ilvl w:val="0"/>
          <w:numId w:val="0"/>
        </w:numPr>
        <w:kinsoku/>
        <w:wordWrap/>
        <w:overflowPunct/>
        <w:topLinePunct w:val="0"/>
        <w:autoSpaceDE/>
        <w:autoSpaceDN/>
        <w:bidi w:val="0"/>
        <w:spacing w:line="590" w:lineRule="exact"/>
        <w:ind w:leftChars="0" w:right="0" w:rightChars="0"/>
        <w:textAlignment w:val="auto"/>
        <w:rPr>
          <w:rFonts w:hint="eastAsia"/>
        </w:rPr>
      </w:pPr>
    </w:p>
    <w:p w14:paraId="4C01893E">
      <w:pPr>
        <w:pageBreakBefore w:val="0"/>
        <w:widowControl w:val="0"/>
        <w:kinsoku/>
        <w:wordWrap/>
        <w:overflowPunct/>
        <w:topLinePunct w:val="0"/>
        <w:autoSpaceDE/>
        <w:autoSpaceDN/>
        <w:bidi w:val="0"/>
        <w:spacing w:line="590" w:lineRule="exact"/>
        <w:ind w:leftChars="0" w:right="0" w:rightChars="0"/>
        <w:textAlignment w:val="auto"/>
        <w:rPr>
          <w:rFonts w:hint="eastAsia"/>
        </w:rPr>
      </w:pPr>
      <w:r>
        <w:rPr>
          <w:rStyle w:val="19"/>
          <w:rFonts w:hint="eastAsia"/>
        </w:rPr>
        <w:t>第九条</w:t>
      </w:r>
      <w:r>
        <w:rPr>
          <w:rStyle w:val="19"/>
          <w:rFonts w:hint="eastAsia" w:eastAsia="方正黑体_GBK"/>
          <w:lang w:val="en-US" w:eastAsia="zh-CN"/>
        </w:rPr>
        <w:t xml:space="preserve">  </w:t>
      </w:r>
      <w:bookmarkStart w:id="0" w:name="_GoBack"/>
      <w:bookmarkEnd w:id="0"/>
      <w:r>
        <w:rPr>
          <w:rFonts w:hint="eastAsia"/>
        </w:rPr>
        <w:t>本补充规定自下发之日起实施。原《关于印发禹会区政府投资项目工程变更签证管理暂行办法的通知》（禹政办〔2011〕3号）</w:t>
      </w:r>
      <w:r>
        <w:t>与本补充规定不一致的，以本补充规定为准。</w:t>
      </w:r>
    </w:p>
    <w:p w14:paraId="210E4498">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textAlignment w:val="auto"/>
        <w:rPr>
          <w:rFonts w:hint="eastAsia" w:ascii="仿宋_GB2312" w:hAnsi="仿宋_GB2312" w:eastAsia="仿宋_GB2312" w:cs="仿宋_GB2312"/>
          <w:i w:val="0"/>
          <w:caps w:val="0"/>
          <w:color w:val="333333"/>
          <w:spacing w:val="0"/>
          <w:sz w:val="32"/>
          <w:szCs w:val="32"/>
          <w:shd w:val="clear" w:color="auto" w:fill="FFFFFF"/>
          <w:lang w:val="en-US" w:eastAsia="zh-CN"/>
        </w:rPr>
      </w:pPr>
    </w:p>
    <w:p w14:paraId="53172D70">
      <w:pPr>
        <w:pageBreakBefore w:val="0"/>
        <w:widowControl w:val="0"/>
        <w:kinsoku/>
        <w:wordWrap/>
        <w:overflowPunct/>
        <w:topLinePunct w:val="0"/>
        <w:autoSpaceDE/>
        <w:autoSpaceDN/>
        <w:bidi w:val="0"/>
        <w:spacing w:line="590" w:lineRule="exact"/>
        <w:ind w:leftChars="0" w:right="0" w:rightChars="0"/>
        <w:textAlignment w:val="auto"/>
      </w:pPr>
    </w:p>
    <w:sectPr>
      <w:headerReference r:id="rId5" w:type="default"/>
      <w:footerReference r:id="rId6" w:type="default"/>
      <w:pgSz w:w="11906" w:h="16838"/>
      <w:pgMar w:top="1962" w:right="1474" w:bottom="1848" w:left="1587" w:header="851" w:footer="992" w:gutter="0"/>
      <w:pgNumType w:fmt="numberInDash"/>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4D16C">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6E3ECD0">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26E3ECD0">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47B176ED">
    <w:pPr>
      <w:pStyle w:val="8"/>
      <w:tabs>
        <w:tab w:val="left" w:pos="5120"/>
      </w:tabs>
      <w:wordWrap/>
      <w:ind w:left="5133" w:leftChars="1604" w:firstLine="8560" w:firstLineChars="2675"/>
      <w:jc w:val="lef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color w:val="FAFAFA"/>
        <w:sz w:val="32"/>
        <w:lang w:eastAsia="zh-CN"/>
      </w:rPr>
      <w:t>禹</w:t>
    </w:r>
    <w:r>
      <w:rPr>
        <w:rFonts w:hint="eastAsia" w:ascii="宋体" w:hAnsi="宋体" w:eastAsia="宋体" w:cs="宋体"/>
        <w:b/>
        <w:bCs/>
        <w:color w:val="005192"/>
        <w:sz w:val="28"/>
        <w:szCs w:val="44"/>
        <w:lang w:val="en-US" w:eastAsia="zh-CN"/>
      </w:rPr>
      <w:t>禹会区人民政府办公室发布</w:t>
    </w:r>
  </w:p>
  <w:p w14:paraId="3ECF73DC">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3F15C">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5985394F">
    <w:pPr>
      <w:pStyle w:val="8"/>
      <w:keepNext w:val="0"/>
      <w:keepLines w:val="0"/>
      <w:pageBreakBefore w:val="0"/>
      <w:widowControl w:val="0"/>
      <w:kinsoku/>
      <w:wordWrap/>
      <w:overflowPunct/>
      <w:topLinePunct w:val="0"/>
      <w:autoSpaceDE/>
      <w:autoSpaceDN/>
      <w:bidi w:val="0"/>
      <w:adjustRightInd/>
      <w:snapToGrid w:val="0"/>
      <w:ind w:left="0" w:leftChars="0" w:firstLine="0" w:firstLineChars="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szCs w:val="32"/>
        <w:lang w:val="en-US" w:eastAsia="zh-CN"/>
      </w:rPr>
      <w:t>禹会区人民政府行政规范性文件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Y2Mzc4MTkyNWQ5ZTljY2E1OWYwZWYyMTZkODIifQ=="/>
  </w:docVars>
  <w:rsids>
    <w:rsidRoot w:val="35D35E0A"/>
    <w:rsid w:val="001D7D62"/>
    <w:rsid w:val="002D16D0"/>
    <w:rsid w:val="002E4544"/>
    <w:rsid w:val="003460D6"/>
    <w:rsid w:val="00446363"/>
    <w:rsid w:val="00470FE1"/>
    <w:rsid w:val="004E22B6"/>
    <w:rsid w:val="005730A1"/>
    <w:rsid w:val="00590B16"/>
    <w:rsid w:val="005A1C5E"/>
    <w:rsid w:val="00600441"/>
    <w:rsid w:val="00684F78"/>
    <w:rsid w:val="006851C5"/>
    <w:rsid w:val="008433B7"/>
    <w:rsid w:val="00844FA2"/>
    <w:rsid w:val="00957638"/>
    <w:rsid w:val="0098031F"/>
    <w:rsid w:val="00A925E7"/>
    <w:rsid w:val="00BA5329"/>
    <w:rsid w:val="00BC6DA6"/>
    <w:rsid w:val="00C27EC2"/>
    <w:rsid w:val="00C60C5E"/>
    <w:rsid w:val="00C6118A"/>
    <w:rsid w:val="00C84546"/>
    <w:rsid w:val="00D2364B"/>
    <w:rsid w:val="00D556A3"/>
    <w:rsid w:val="00DF7BA5"/>
    <w:rsid w:val="00E76BA5"/>
    <w:rsid w:val="00EA6552"/>
    <w:rsid w:val="00FE42EC"/>
    <w:rsid w:val="016B44FB"/>
    <w:rsid w:val="04CF7DD5"/>
    <w:rsid w:val="095017C9"/>
    <w:rsid w:val="0CA74195"/>
    <w:rsid w:val="0D702B46"/>
    <w:rsid w:val="0DE11386"/>
    <w:rsid w:val="0E596D0C"/>
    <w:rsid w:val="0E824A3E"/>
    <w:rsid w:val="0FEC65F2"/>
    <w:rsid w:val="10EC026D"/>
    <w:rsid w:val="11852026"/>
    <w:rsid w:val="11CF7E61"/>
    <w:rsid w:val="15C02F0A"/>
    <w:rsid w:val="17E92522"/>
    <w:rsid w:val="1B8D25F8"/>
    <w:rsid w:val="1C3049F0"/>
    <w:rsid w:val="200D770F"/>
    <w:rsid w:val="21937112"/>
    <w:rsid w:val="24D323EB"/>
    <w:rsid w:val="25D17131"/>
    <w:rsid w:val="2CF3297D"/>
    <w:rsid w:val="2D434711"/>
    <w:rsid w:val="2E1A31A0"/>
    <w:rsid w:val="2E423D1F"/>
    <w:rsid w:val="305B205D"/>
    <w:rsid w:val="31774F4A"/>
    <w:rsid w:val="35D35E0A"/>
    <w:rsid w:val="37B12DFF"/>
    <w:rsid w:val="3B0507A8"/>
    <w:rsid w:val="3B95265F"/>
    <w:rsid w:val="3DBE0345"/>
    <w:rsid w:val="3DE30632"/>
    <w:rsid w:val="3E926292"/>
    <w:rsid w:val="3EF81456"/>
    <w:rsid w:val="3F291C46"/>
    <w:rsid w:val="416C3416"/>
    <w:rsid w:val="428D15CD"/>
    <w:rsid w:val="42B574B3"/>
    <w:rsid w:val="437918C2"/>
    <w:rsid w:val="479C68A6"/>
    <w:rsid w:val="48877A3B"/>
    <w:rsid w:val="4A105393"/>
    <w:rsid w:val="4AFE3513"/>
    <w:rsid w:val="50051B58"/>
    <w:rsid w:val="509728BD"/>
    <w:rsid w:val="520F168C"/>
    <w:rsid w:val="527F7265"/>
    <w:rsid w:val="540A69A3"/>
    <w:rsid w:val="551441B4"/>
    <w:rsid w:val="59230CE9"/>
    <w:rsid w:val="5A6F7F65"/>
    <w:rsid w:val="5B091D81"/>
    <w:rsid w:val="5CD4129C"/>
    <w:rsid w:val="5D9F2043"/>
    <w:rsid w:val="5DD55E19"/>
    <w:rsid w:val="5EB439CE"/>
    <w:rsid w:val="5EBA0CB8"/>
    <w:rsid w:val="61985DB4"/>
    <w:rsid w:val="62A30143"/>
    <w:rsid w:val="645C2EC8"/>
    <w:rsid w:val="675B5CA9"/>
    <w:rsid w:val="6A8971A6"/>
    <w:rsid w:val="6D8D3136"/>
    <w:rsid w:val="72DF3B44"/>
    <w:rsid w:val="76DE611E"/>
    <w:rsid w:val="76E6616C"/>
    <w:rsid w:val="78113D54"/>
    <w:rsid w:val="7E1712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90" w:lineRule="exact"/>
      <w:ind w:firstLine="420" w:firstLineChars="20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590" w:lineRule="exact"/>
      <w:jc w:val="center"/>
      <w:outlineLvl w:val="0"/>
    </w:pPr>
    <w:rPr>
      <w:rFonts w:ascii="Times New Roman" w:hAnsi="Times New Roman" w:eastAsia="方正小标宋_GBK"/>
      <w:kern w:val="44"/>
      <w:sz w:val="44"/>
    </w:rPr>
  </w:style>
  <w:style w:type="paragraph" w:styleId="3">
    <w:name w:val="heading 2"/>
    <w:basedOn w:val="1"/>
    <w:next w:val="1"/>
    <w:link w:val="19"/>
    <w:unhideWhenUsed/>
    <w:qFormat/>
    <w:uiPriority w:val="0"/>
    <w:pPr>
      <w:keepNext/>
      <w:keepLines/>
      <w:adjustRightInd w:val="0"/>
      <w:snapToGrid w:val="0"/>
      <w:spacing w:beforeLines="0" w:beforeAutospacing="0" w:afterLines="0" w:afterAutospacing="0" w:line="590" w:lineRule="exact"/>
      <w:ind w:firstLine="420" w:firstLineChars="200"/>
      <w:outlineLvl w:val="1"/>
    </w:pPr>
    <w:rPr>
      <w:rFonts w:ascii="Arial" w:hAnsi="Arial" w:eastAsia="方正黑体_GBK"/>
    </w:rPr>
  </w:style>
  <w:style w:type="paragraph" w:styleId="4">
    <w:name w:val="heading 3"/>
    <w:basedOn w:val="1"/>
    <w:next w:val="1"/>
    <w:link w:val="17"/>
    <w:unhideWhenUsed/>
    <w:qFormat/>
    <w:uiPriority w:val="0"/>
    <w:pPr>
      <w:keepNext/>
      <w:keepLines/>
      <w:spacing w:beforeLines="0" w:beforeAutospacing="0" w:afterLines="0" w:afterAutospacing="0" w:line="590" w:lineRule="exact"/>
      <w:outlineLvl w:val="2"/>
    </w:pPr>
    <w:rPr>
      <w:rFonts w:eastAsia="方正楷体_GBK"/>
    </w:rPr>
  </w:style>
  <w:style w:type="paragraph" w:styleId="5">
    <w:name w:val="heading 4"/>
    <w:basedOn w:val="1"/>
    <w:next w:val="1"/>
    <w:unhideWhenUsed/>
    <w:qFormat/>
    <w:uiPriority w:val="0"/>
    <w:pPr>
      <w:keepNext/>
      <w:keepLines/>
      <w:spacing w:beforeLines="0" w:beforeAutospacing="0" w:afterLines="0" w:afterAutospacing="0" w:line="590" w:lineRule="exact"/>
      <w:ind w:right="640" w:rightChars="200" w:firstLine="0" w:firstLineChars="0"/>
      <w:jc w:val="right"/>
      <w:outlineLvl w:val="3"/>
    </w:pPr>
    <w:rPr>
      <w:rFonts w:ascii="Times New Roman" w:hAnsi="Times New Roman"/>
    </w:rPr>
  </w:style>
  <w:style w:type="character" w:default="1" w:styleId="12">
    <w:name w:val="Default Paragraph Font"/>
    <w:qFormat/>
    <w:uiPriority w:val="0"/>
  </w:style>
  <w:style w:type="table" w:default="1" w:styleId="11">
    <w:name w:val="Normal Table"/>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Indent 3"/>
    <w:basedOn w:val="1"/>
    <w:qFormat/>
    <w:uiPriority w:val="0"/>
    <w:pPr>
      <w:adjustRightInd/>
      <w:snapToGrid/>
      <w:spacing w:after="120" w:line="240" w:lineRule="auto"/>
      <w:ind w:left="420" w:leftChars="200" w:firstLine="0" w:firstLineChars="0"/>
    </w:pPr>
    <w:rPr>
      <w:rFonts w:eastAsia="宋体"/>
      <w:sz w:val="16"/>
      <w:szCs w:val="16"/>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3">
    <w:name w:val="Strong"/>
    <w:basedOn w:val="12"/>
    <w:qFormat/>
    <w:uiPriority w:val="0"/>
    <w:rPr>
      <w:b/>
      <w:bCs/>
    </w:rPr>
  </w:style>
  <w:style w:type="character" w:styleId="14">
    <w:name w:val="page number"/>
    <w:basedOn w:val="12"/>
    <w:qFormat/>
    <w:uiPriority w:val="0"/>
    <w:rPr>
      <w:rFonts w:ascii="Times New Roman" w:hAnsi="Times New Roman" w:eastAsia="宋体" w:cs="Times New Roman"/>
    </w:rPr>
  </w:style>
  <w:style w:type="paragraph" w:customStyle="1" w:styleId="15">
    <w:name w:val="样式1"/>
    <w:basedOn w:val="2"/>
    <w:next w:val="1"/>
    <w:qFormat/>
    <w:uiPriority w:val="0"/>
    <w:pPr>
      <w:widowControl/>
      <w:ind w:right="640" w:rightChars="200" w:firstLine="0" w:firstLineChars="0"/>
      <w:jc w:val="right"/>
      <w:textAlignment w:val="center"/>
    </w:pPr>
    <w:rPr>
      <w:rFonts w:eastAsia="方正仿宋_GBK"/>
      <w:sz w:val="32"/>
      <w:szCs w:val="32"/>
    </w:rPr>
  </w:style>
  <w:style w:type="paragraph" w:customStyle="1" w:styleId="16">
    <w:name w:val="样式2"/>
    <w:basedOn w:val="1"/>
    <w:qFormat/>
    <w:uiPriority w:val="0"/>
    <w:pPr>
      <w:adjustRightInd w:val="0"/>
      <w:snapToGrid w:val="0"/>
      <w:spacing w:line="560" w:lineRule="exact"/>
      <w:jc w:val="left"/>
    </w:pPr>
    <w:rPr>
      <w:rFonts w:hint="eastAsia" w:ascii="方正小标宋简体" w:hAnsi="方正小标宋简体" w:eastAsia="仿宋_GB2312" w:cs="方正小标宋简体"/>
      <w:sz w:val="32"/>
      <w:szCs w:val="44"/>
    </w:rPr>
  </w:style>
  <w:style w:type="character" w:customStyle="1" w:styleId="17">
    <w:name w:val="标题 3 Char"/>
    <w:link w:val="4"/>
    <w:qFormat/>
    <w:uiPriority w:val="0"/>
    <w:rPr>
      <w:rFonts w:eastAsia="方正楷体_GBK"/>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标题 2 Char"/>
    <w:link w:val="3"/>
    <w:qFormat/>
    <w:uiPriority w:val="0"/>
    <w:rPr>
      <w:rFonts w:ascii="Arial" w:hAnsi="Arial" w:eastAsia="方正黑体_GBK"/>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wps\zh_CN\&#31161;&#20250;&#21306;&#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禹会区模板.wpt</Template>
  <Pages>7</Pages>
  <Words>2430</Words>
  <Characters>2471</Characters>
  <Lines>0</Lines>
  <Paragraphs>0</Paragraphs>
  <TotalTime>49</TotalTime>
  <ScaleCrop>false</ScaleCrop>
  <LinksUpToDate>false</LinksUpToDate>
  <CharactersWithSpaces>2480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2022-11-01T06:32:00Z</dcterms:created>
  <dc:creator>chu.</dc:creator>
  <cp:lastModifiedBy>Spotlight.</cp:lastModifiedBy>
  <dcterms:modified xsi:type="dcterms:W3CDTF">2025-07-21T08:18:28Z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64D654623E1242D7BBB4B9C027F7C566</vt:lpwstr>
  </property>
  <property fmtid="{D5CDD505-2E9C-101B-9397-08002B2CF9AE}" pid="4" name="KSOTemplateDocerSaveRecord">
    <vt:lpwstr>eyJoZGlkIjoiMzUzYzcyODE0MWFlZTEyNjYyMGMxM2E3MzVjMjZlMTMiLCJ1c2VySWQiOiIyNjcxODI0NjMifQ==</vt:lpwstr>
  </property>
</Properties>
</file>