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01EE6B9">
      <w:pPr>
        <w:keepNext w:val="0"/>
        <w:keepLines w:val="0"/>
        <w:pageBreakBefore w:val="0"/>
        <w:widowControl w:val="0"/>
        <w:kinsoku/>
        <w:wordWrap/>
        <w:overflowPunct/>
        <w:topLinePunct w:val="0"/>
        <w:autoSpaceDE/>
        <w:autoSpaceDN/>
        <w:bidi w:val="0"/>
        <w:adjustRightInd/>
        <w:snapToGrid/>
        <w:ind w:left="0" w:right="0" w:firstLine="880" w:firstLineChars="200"/>
        <w:jc w:val="center"/>
        <w:textAlignment w:val="auto"/>
        <w:rPr>
          <w:rFonts w:hint="eastAsia" w:ascii="方正小标宋简体" w:hAnsi="方正小标宋简体" w:eastAsia="方正小标宋简体" w:cs="方正小标宋简体"/>
          <w:b w:val="0"/>
          <w:bCs/>
          <w:color w:val="000000"/>
          <w:sz w:val="44"/>
          <w:szCs w:val="44"/>
        </w:rPr>
      </w:pPr>
      <w:bookmarkStart w:id="0" w:name="_Toc164894602"/>
      <w:r>
        <w:rPr>
          <w:rFonts w:hint="eastAsia" w:ascii="方正小标宋简体" w:hAnsi="方正小标宋简体" w:eastAsia="方正小标宋简体" w:cs="方正小标宋简体"/>
          <w:b w:val="0"/>
          <w:bCs/>
          <w:color w:val="000000"/>
          <w:sz w:val="44"/>
          <w:szCs w:val="44"/>
        </w:rPr>
        <w:t>《涂山—白乳泉风景名胜区总体规</w:t>
      </w:r>
      <w:r>
        <w:rPr>
          <w:rFonts w:hint="eastAsia" w:ascii="方正小标宋简体" w:hAnsi="方正小标宋简体" w:eastAsia="方正小标宋简体" w:cs="方正小标宋简体"/>
          <w:b w:val="0"/>
          <w:bCs/>
          <w:color w:val="000000"/>
          <w:sz w:val="44"/>
          <w:szCs w:val="44"/>
          <w:lang w:eastAsia="zh-CN"/>
        </w:rPr>
        <w:t>划</w:t>
      </w:r>
      <w:r>
        <w:rPr>
          <w:rFonts w:hint="eastAsia" w:ascii="方正小标宋简体" w:hAnsi="方正小标宋简体" w:eastAsia="方正小标宋简体" w:cs="方正小标宋简体"/>
          <w:b w:val="0"/>
          <w:bCs/>
          <w:color w:val="000000"/>
          <w:sz w:val="44"/>
          <w:szCs w:val="44"/>
        </w:rPr>
        <w:t>（2021-2035年）》文字解读</w:t>
      </w:r>
    </w:p>
    <w:bookmarkEnd w:id="0"/>
    <w:p w14:paraId="664F0281">
      <w:pPr>
        <w:keepNext w:val="0"/>
        <w:keepLines w:val="0"/>
        <w:pageBreakBefore w:val="0"/>
        <w:widowControl w:val="0"/>
        <w:kinsoku/>
        <w:wordWrap/>
        <w:overflowPunct/>
        <w:topLinePunct w:val="0"/>
        <w:autoSpaceDE/>
        <w:autoSpaceDN/>
        <w:bidi w:val="0"/>
        <w:adjustRightInd/>
        <w:snapToGrid/>
        <w:spacing w:line="360" w:lineRule="auto"/>
        <w:ind w:left="0" w:right="0" w:firstLine="480" w:firstLineChars="200"/>
        <w:textAlignment w:val="auto"/>
        <w:rPr>
          <w:rFonts w:ascii="宋体" w:hAnsi="宋体"/>
          <w:color w:val="000000"/>
          <w:sz w:val="24"/>
          <w:szCs w:val="24"/>
        </w:rPr>
      </w:pPr>
    </w:p>
    <w:p w14:paraId="2AFC09A3">
      <w:pPr>
        <w:keepNext w:val="0"/>
        <w:keepLines w:val="0"/>
        <w:pageBreakBefore w:val="0"/>
        <w:widowControl w:val="0"/>
        <w:kinsoku/>
        <w:wordWrap/>
        <w:overflowPunct/>
        <w:topLinePunct w:val="0"/>
        <w:autoSpaceDE/>
        <w:autoSpaceDN/>
        <w:bidi w:val="0"/>
        <w:adjustRightInd/>
        <w:snapToGrid/>
        <w:spacing w:line="360" w:lineRule="auto"/>
        <w:ind w:left="0" w:right="0" w:firstLine="640" w:firstLineChars="200"/>
        <w:textAlignment w:val="auto"/>
        <w:rPr>
          <w:rFonts w:hint="eastAsia"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2025年6月17日，安徽省人民政府正式批复《涂山—白乳泉风景名胜区总体规划（2021-2035年）》（以下简称《总体规划》），</w:t>
      </w:r>
      <w:r>
        <w:rPr>
          <w:rFonts w:hint="eastAsia" w:ascii="仿宋_GB2312" w:hAnsi="仿宋_GB2312" w:eastAsia="仿宋_GB2312" w:cs="仿宋_GB2312"/>
          <w:color w:val="000000"/>
          <w:sz w:val="32"/>
          <w:szCs w:val="32"/>
          <w:lang w:eastAsia="zh-CN"/>
        </w:rPr>
        <w:t>禹会区</w:t>
      </w:r>
      <w:r>
        <w:rPr>
          <w:rFonts w:hint="eastAsia" w:ascii="仿宋_GB2312" w:hAnsi="仿宋_GB2312" w:eastAsia="仿宋_GB2312" w:cs="仿宋_GB2312"/>
          <w:color w:val="000000"/>
          <w:sz w:val="32"/>
          <w:szCs w:val="32"/>
        </w:rPr>
        <w:t>人民政府</w:t>
      </w:r>
      <w:r>
        <w:rPr>
          <w:rFonts w:hint="eastAsia" w:ascii="仿宋_GB2312" w:hAnsi="仿宋_GB2312" w:eastAsia="仿宋_GB2312" w:cs="仿宋_GB2312"/>
          <w:color w:val="000000"/>
          <w:sz w:val="32"/>
          <w:szCs w:val="32"/>
          <w:lang w:eastAsia="zh-CN"/>
        </w:rPr>
        <w:t>于</w:t>
      </w:r>
      <w:r>
        <w:rPr>
          <w:rFonts w:hint="eastAsia" w:ascii="仿宋_GB2312" w:hAnsi="仿宋_GB2312" w:eastAsia="仿宋_GB2312" w:cs="仿宋_GB2312"/>
          <w:color w:val="000000"/>
          <w:sz w:val="32"/>
          <w:szCs w:val="32"/>
          <w:lang w:val="en-US" w:eastAsia="zh-CN"/>
        </w:rPr>
        <w:t>2025年6月27日在官网</w:t>
      </w:r>
      <w:r>
        <w:rPr>
          <w:rFonts w:hint="eastAsia" w:ascii="仿宋_GB2312" w:hAnsi="仿宋_GB2312" w:eastAsia="仿宋_GB2312" w:cs="仿宋_GB2312"/>
          <w:color w:val="000000"/>
          <w:sz w:val="32"/>
          <w:szCs w:val="32"/>
          <w:lang w:eastAsia="zh-CN"/>
        </w:rPr>
        <w:t>发布</w:t>
      </w:r>
      <w:r>
        <w:rPr>
          <w:rFonts w:hint="eastAsia" w:ascii="仿宋_GB2312" w:hAnsi="仿宋_GB2312" w:eastAsia="仿宋_GB2312" w:cs="仿宋_GB2312"/>
          <w:color w:val="000000"/>
          <w:sz w:val="32"/>
          <w:szCs w:val="32"/>
        </w:rPr>
        <w:t>《总体规划》</w:t>
      </w:r>
      <w:r>
        <w:rPr>
          <w:rFonts w:hint="eastAsia" w:ascii="仿宋_GB2312" w:hAnsi="仿宋_GB2312" w:eastAsia="仿宋_GB2312" w:cs="仿宋_GB2312"/>
          <w:color w:val="000000"/>
          <w:sz w:val="32"/>
          <w:szCs w:val="32"/>
          <w:lang w:eastAsia="zh-CN"/>
        </w:rPr>
        <w:t>，</w:t>
      </w:r>
      <w:r>
        <w:rPr>
          <w:rFonts w:hint="eastAsia" w:ascii="仿宋_GB2312" w:hAnsi="仿宋_GB2312" w:eastAsia="仿宋_GB2312" w:cs="仿宋_GB2312"/>
          <w:color w:val="000000"/>
          <w:sz w:val="32"/>
          <w:szCs w:val="32"/>
        </w:rPr>
        <w:t>为涂山—白乳泉风景名胜区的资源保护、开发利用和管理提供了重要依据。</w:t>
      </w:r>
    </w:p>
    <w:p w14:paraId="7A056639">
      <w:pPr>
        <w:pStyle w:val="3"/>
        <w:keepNext w:val="0"/>
        <w:keepLines w:val="0"/>
        <w:pageBreakBefore w:val="0"/>
        <w:widowControl w:val="0"/>
        <w:numPr>
          <w:ilvl w:val="0"/>
          <w:numId w:val="0"/>
        </w:numPr>
        <w:kinsoku/>
        <w:wordWrap/>
        <w:overflowPunct/>
        <w:topLinePunct w:val="0"/>
        <w:autoSpaceDE/>
        <w:autoSpaceDN/>
        <w:bidi w:val="0"/>
        <w:adjustRightInd/>
        <w:snapToGrid/>
        <w:spacing w:before="0" w:after="0"/>
        <w:ind w:left="0" w:leftChars="0" w:right="0" w:firstLine="640" w:firstLineChars="200"/>
        <w:jc w:val="both"/>
        <w:textAlignment w:val="auto"/>
        <w:outlineLvl w:val="1"/>
        <w:rPr>
          <w:rFonts w:hint="eastAsia" w:ascii="黑体" w:hAnsi="黑体" w:eastAsia="黑体" w:cs="黑体"/>
          <w:color w:val="000000"/>
          <w:sz w:val="32"/>
          <w:szCs w:val="32"/>
        </w:rPr>
      </w:pPr>
      <w:r>
        <w:rPr>
          <w:rFonts w:hint="eastAsia" w:ascii="黑体" w:hAnsi="黑体" w:eastAsia="黑体" w:cs="黑体"/>
          <w:b w:val="0"/>
          <w:bCs w:val="0"/>
          <w:color w:val="000000"/>
          <w:kern w:val="2"/>
          <w:sz w:val="32"/>
          <w:szCs w:val="32"/>
          <w:lang w:val="en-US" w:eastAsia="zh-CN" w:bidi="ar-SA"/>
        </w:rPr>
        <w:t>一、</w:t>
      </w:r>
      <w:r>
        <w:rPr>
          <w:rFonts w:hint="eastAsia" w:ascii="黑体" w:hAnsi="黑体" w:eastAsia="黑体" w:cs="黑体"/>
          <w:b w:val="0"/>
          <w:bCs w:val="0"/>
          <w:color w:val="000000"/>
          <w:sz w:val="32"/>
          <w:szCs w:val="32"/>
        </w:rPr>
        <w:t>《总体规划》的出台背景</w:t>
      </w:r>
    </w:p>
    <w:p w14:paraId="0D0B2BF4">
      <w:pPr>
        <w:keepNext w:val="0"/>
        <w:keepLines w:val="0"/>
        <w:pageBreakBefore w:val="0"/>
        <w:widowControl w:val="0"/>
        <w:kinsoku/>
        <w:wordWrap/>
        <w:overflowPunct/>
        <w:topLinePunct w:val="0"/>
        <w:autoSpaceDE/>
        <w:autoSpaceDN/>
        <w:bidi w:val="0"/>
        <w:adjustRightInd/>
        <w:snapToGrid/>
        <w:spacing w:line="360" w:lineRule="auto"/>
        <w:ind w:left="0" w:right="0" w:firstLine="640" w:firstLineChars="200"/>
        <w:textAlignment w:val="auto"/>
        <w:rPr>
          <w:rFonts w:hint="eastAsia"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涂山—白乳泉风景名胜区于1987年被省人民政府批准为省级风景名胜区。在一系列内外环境变革的背景下，“99总规”已经不适应当前涂山—白乳泉风景名胜区进一步发展和提升的需求。为加强保护</w:t>
      </w:r>
      <w:r>
        <w:rPr>
          <w:rFonts w:hint="eastAsia" w:ascii="仿宋_GB2312" w:hAnsi="仿宋_GB2312" w:eastAsia="仿宋_GB2312" w:cs="仿宋_GB2312"/>
          <w:color w:val="000000"/>
          <w:sz w:val="32"/>
          <w:szCs w:val="32"/>
          <w:lang w:eastAsia="zh-CN"/>
        </w:rPr>
        <w:t>，</w:t>
      </w:r>
      <w:r>
        <w:rPr>
          <w:rFonts w:hint="eastAsia" w:ascii="仿宋_GB2312" w:hAnsi="仿宋_GB2312" w:eastAsia="仿宋_GB2312" w:cs="仿宋_GB2312"/>
          <w:color w:val="000000"/>
          <w:sz w:val="32"/>
          <w:szCs w:val="32"/>
        </w:rPr>
        <w:t>有效指导风景名胜区的建设和利用，促进其可持续发展，根据《风景名胜区条例》及相关法律、法规、标准等规定，结合实际情况，编制《涂山—白乳泉风景名胜区总体规划（2021-2035年）》。</w:t>
      </w:r>
    </w:p>
    <w:p w14:paraId="73FCEC4B">
      <w:pPr>
        <w:pStyle w:val="3"/>
        <w:keepNext w:val="0"/>
        <w:keepLines w:val="0"/>
        <w:pageBreakBefore w:val="0"/>
        <w:widowControl w:val="0"/>
        <w:numPr>
          <w:ilvl w:val="0"/>
          <w:numId w:val="0"/>
        </w:numPr>
        <w:kinsoku/>
        <w:wordWrap/>
        <w:overflowPunct/>
        <w:topLinePunct w:val="0"/>
        <w:autoSpaceDE/>
        <w:autoSpaceDN/>
        <w:bidi w:val="0"/>
        <w:adjustRightInd/>
        <w:snapToGrid/>
        <w:spacing w:before="0" w:after="0"/>
        <w:ind w:left="0" w:leftChars="0" w:right="0" w:firstLine="640" w:firstLineChars="200"/>
        <w:jc w:val="left"/>
        <w:textAlignment w:val="auto"/>
        <w:outlineLvl w:val="1"/>
        <w:rPr>
          <w:rFonts w:hint="eastAsia" w:ascii="黑体" w:hAnsi="黑体" w:eastAsia="黑体" w:cs="黑体"/>
          <w:b w:val="0"/>
          <w:bCs w:val="0"/>
          <w:color w:val="000000"/>
          <w:sz w:val="32"/>
          <w:szCs w:val="32"/>
        </w:rPr>
      </w:pPr>
      <w:r>
        <w:rPr>
          <w:rFonts w:hint="eastAsia" w:ascii="黑体" w:hAnsi="黑体" w:eastAsia="黑体" w:cs="黑体"/>
          <w:b w:val="0"/>
          <w:bCs w:val="0"/>
          <w:color w:val="000000"/>
          <w:kern w:val="2"/>
          <w:sz w:val="32"/>
          <w:szCs w:val="32"/>
          <w:lang w:val="en-US" w:eastAsia="zh-CN" w:bidi="ar-SA"/>
        </w:rPr>
        <w:t>二、</w:t>
      </w:r>
      <w:r>
        <w:rPr>
          <w:rFonts w:hint="eastAsia" w:ascii="黑体" w:hAnsi="黑体" w:eastAsia="黑体" w:cs="黑体"/>
          <w:b w:val="0"/>
          <w:bCs w:val="0"/>
          <w:color w:val="000000"/>
          <w:sz w:val="32"/>
          <w:szCs w:val="32"/>
        </w:rPr>
        <w:t>风景名胜区范围</w:t>
      </w:r>
    </w:p>
    <w:p w14:paraId="7090A0CD">
      <w:pPr>
        <w:keepNext w:val="0"/>
        <w:keepLines w:val="0"/>
        <w:pageBreakBefore w:val="0"/>
        <w:widowControl w:val="0"/>
        <w:kinsoku/>
        <w:wordWrap/>
        <w:overflowPunct/>
        <w:topLinePunct w:val="0"/>
        <w:autoSpaceDE/>
        <w:autoSpaceDN/>
        <w:bidi w:val="0"/>
        <w:adjustRightInd/>
        <w:snapToGrid/>
        <w:spacing w:line="360" w:lineRule="auto"/>
        <w:ind w:left="0" w:right="0" w:firstLine="640" w:firstLineChars="200"/>
        <w:textAlignment w:val="auto"/>
        <w:rPr>
          <w:rFonts w:hint="eastAsia"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规划涂山—白乳泉风景名胜区总面积62.51km2，地理坐标北纬32°49'23"—32°58'9"，东经117°10'17"—117°16'45"。核心景区包含涂山、黑虎山、荆山的主要游览区以及生态重要性较高的区域，面积8.92km2，占风景名胜区总面积的14.27%。</w:t>
      </w:r>
    </w:p>
    <w:p w14:paraId="0711E0AF">
      <w:pPr>
        <w:pStyle w:val="3"/>
        <w:keepNext w:val="0"/>
        <w:keepLines w:val="0"/>
        <w:pageBreakBefore w:val="0"/>
        <w:widowControl w:val="0"/>
        <w:numPr>
          <w:ilvl w:val="0"/>
          <w:numId w:val="0"/>
        </w:numPr>
        <w:kinsoku/>
        <w:wordWrap/>
        <w:overflowPunct/>
        <w:topLinePunct w:val="0"/>
        <w:autoSpaceDE/>
        <w:autoSpaceDN/>
        <w:bidi w:val="0"/>
        <w:adjustRightInd/>
        <w:snapToGrid/>
        <w:spacing w:before="0" w:after="0"/>
        <w:ind w:left="0" w:leftChars="0" w:right="0" w:firstLine="640" w:firstLineChars="200"/>
        <w:jc w:val="left"/>
        <w:textAlignment w:val="auto"/>
        <w:outlineLvl w:val="1"/>
        <w:rPr>
          <w:rFonts w:hint="eastAsia" w:ascii="黑体" w:hAnsi="黑体" w:eastAsia="黑体" w:cs="黑体"/>
          <w:b w:val="0"/>
          <w:bCs w:val="0"/>
          <w:color w:val="000000"/>
          <w:sz w:val="32"/>
          <w:szCs w:val="32"/>
        </w:rPr>
      </w:pPr>
      <w:bookmarkStart w:id="1" w:name="_Toc164894605"/>
      <w:r>
        <w:rPr>
          <w:rFonts w:hint="eastAsia" w:ascii="黑体" w:hAnsi="黑体" w:eastAsia="黑体" w:cs="黑体"/>
          <w:b w:val="0"/>
          <w:bCs w:val="0"/>
          <w:color w:val="000000"/>
          <w:kern w:val="2"/>
          <w:sz w:val="32"/>
          <w:szCs w:val="32"/>
          <w:lang w:val="en-US" w:eastAsia="zh-CN" w:bidi="ar-SA"/>
        </w:rPr>
        <w:t>三、</w:t>
      </w:r>
      <w:r>
        <w:rPr>
          <w:rFonts w:hint="eastAsia" w:ascii="黑体" w:hAnsi="黑体" w:eastAsia="黑体" w:cs="黑体"/>
          <w:b w:val="0"/>
          <w:bCs w:val="0"/>
          <w:color w:val="000000"/>
          <w:sz w:val="32"/>
          <w:szCs w:val="32"/>
        </w:rPr>
        <w:t>风景名胜区性质</w:t>
      </w:r>
      <w:bookmarkEnd w:id="1"/>
    </w:p>
    <w:p w14:paraId="136E3680">
      <w:pPr>
        <w:keepNext w:val="0"/>
        <w:keepLines w:val="0"/>
        <w:pageBreakBefore w:val="0"/>
        <w:widowControl w:val="0"/>
        <w:kinsoku/>
        <w:wordWrap/>
        <w:overflowPunct/>
        <w:topLinePunct w:val="0"/>
        <w:autoSpaceDE/>
        <w:autoSpaceDN/>
        <w:bidi w:val="0"/>
        <w:adjustRightInd/>
        <w:snapToGrid/>
        <w:spacing w:line="360" w:lineRule="auto"/>
        <w:ind w:left="0" w:right="0" w:firstLine="640" w:firstLineChars="200"/>
        <w:textAlignment w:val="auto"/>
        <w:rPr>
          <w:rFonts w:hint="eastAsia"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以大禹文化、荆山山峡、湖泊湿地为特色，以家国情怀为主题，以风景游赏、文化揽胜、休闲游憩、水利科普、科学研究等为主要功能的城市型省级风景名胜区。</w:t>
      </w:r>
    </w:p>
    <w:p w14:paraId="5479D7F1">
      <w:pPr>
        <w:pStyle w:val="3"/>
        <w:keepNext w:val="0"/>
        <w:keepLines w:val="0"/>
        <w:pageBreakBefore w:val="0"/>
        <w:widowControl w:val="0"/>
        <w:numPr>
          <w:ilvl w:val="0"/>
          <w:numId w:val="0"/>
        </w:numPr>
        <w:kinsoku/>
        <w:wordWrap/>
        <w:overflowPunct/>
        <w:topLinePunct w:val="0"/>
        <w:autoSpaceDE/>
        <w:autoSpaceDN/>
        <w:bidi w:val="0"/>
        <w:adjustRightInd/>
        <w:snapToGrid/>
        <w:spacing w:before="0" w:after="0"/>
        <w:ind w:left="0" w:leftChars="0" w:right="0" w:firstLine="640" w:firstLineChars="200"/>
        <w:jc w:val="left"/>
        <w:textAlignment w:val="auto"/>
        <w:outlineLvl w:val="1"/>
        <w:rPr>
          <w:rFonts w:hint="eastAsia" w:ascii="黑体" w:hAnsi="黑体" w:eastAsia="黑体" w:cs="黑体"/>
          <w:b w:val="0"/>
          <w:bCs w:val="0"/>
          <w:color w:val="000000"/>
          <w:sz w:val="32"/>
          <w:szCs w:val="32"/>
        </w:rPr>
      </w:pPr>
      <w:bookmarkStart w:id="2" w:name="_Toc164894606"/>
      <w:r>
        <w:rPr>
          <w:rFonts w:hint="eastAsia" w:ascii="黑体" w:hAnsi="黑体" w:eastAsia="黑体" w:cs="黑体"/>
          <w:b w:val="0"/>
          <w:bCs w:val="0"/>
          <w:color w:val="000000"/>
          <w:kern w:val="2"/>
          <w:sz w:val="32"/>
          <w:szCs w:val="32"/>
          <w:lang w:val="en-US" w:eastAsia="zh-CN" w:bidi="ar-SA"/>
        </w:rPr>
        <w:t>四、</w:t>
      </w:r>
      <w:r>
        <w:rPr>
          <w:rFonts w:hint="eastAsia" w:ascii="黑体" w:hAnsi="黑体" w:eastAsia="黑体" w:cs="黑体"/>
          <w:b w:val="0"/>
          <w:bCs w:val="0"/>
          <w:color w:val="000000"/>
          <w:sz w:val="32"/>
          <w:szCs w:val="32"/>
        </w:rPr>
        <w:t>规划期限</w:t>
      </w:r>
      <w:bookmarkEnd w:id="2"/>
    </w:p>
    <w:p w14:paraId="7CD54EFE">
      <w:pPr>
        <w:keepNext w:val="0"/>
        <w:keepLines w:val="0"/>
        <w:pageBreakBefore w:val="0"/>
        <w:widowControl w:val="0"/>
        <w:kinsoku/>
        <w:wordWrap/>
        <w:overflowPunct/>
        <w:topLinePunct w:val="0"/>
        <w:autoSpaceDE/>
        <w:autoSpaceDN/>
        <w:bidi w:val="0"/>
        <w:adjustRightInd/>
        <w:snapToGrid/>
        <w:spacing w:line="360" w:lineRule="auto"/>
        <w:ind w:left="0" w:right="0" w:firstLine="640" w:firstLineChars="200"/>
        <w:textAlignment w:val="auto"/>
        <w:rPr>
          <w:rFonts w:hint="eastAsia"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本次规划期限为：2021年至2035年。其中，近期为2021年至2027年，远期为2028年至2035年。</w:t>
      </w:r>
    </w:p>
    <w:p w14:paraId="6CC3AD19">
      <w:pPr>
        <w:pStyle w:val="3"/>
        <w:keepNext w:val="0"/>
        <w:keepLines w:val="0"/>
        <w:pageBreakBefore w:val="0"/>
        <w:widowControl w:val="0"/>
        <w:numPr>
          <w:ilvl w:val="0"/>
          <w:numId w:val="0"/>
        </w:numPr>
        <w:kinsoku/>
        <w:wordWrap/>
        <w:overflowPunct/>
        <w:topLinePunct w:val="0"/>
        <w:autoSpaceDE/>
        <w:autoSpaceDN/>
        <w:bidi w:val="0"/>
        <w:adjustRightInd/>
        <w:snapToGrid/>
        <w:spacing w:before="0" w:after="0"/>
        <w:ind w:left="0" w:leftChars="0" w:right="0" w:firstLine="640" w:firstLineChars="200"/>
        <w:jc w:val="left"/>
        <w:textAlignment w:val="auto"/>
        <w:outlineLvl w:val="1"/>
        <w:rPr>
          <w:rFonts w:hint="eastAsia" w:ascii="黑体" w:hAnsi="黑体" w:eastAsia="黑体" w:cs="黑体"/>
          <w:color w:val="000000"/>
          <w:sz w:val="32"/>
          <w:szCs w:val="32"/>
        </w:rPr>
      </w:pPr>
      <w:r>
        <w:rPr>
          <w:rFonts w:hint="eastAsia" w:ascii="黑体" w:hAnsi="黑体" w:eastAsia="黑体" w:cs="黑体"/>
          <w:b w:val="0"/>
          <w:bCs w:val="0"/>
          <w:color w:val="000000"/>
          <w:kern w:val="2"/>
          <w:sz w:val="32"/>
          <w:szCs w:val="32"/>
          <w:lang w:val="en-US" w:eastAsia="zh-CN" w:bidi="ar-SA"/>
        </w:rPr>
        <w:t>五、</w:t>
      </w:r>
      <w:r>
        <w:rPr>
          <w:rFonts w:hint="eastAsia" w:ascii="黑体" w:hAnsi="黑体" w:eastAsia="黑体" w:cs="黑体"/>
          <w:b w:val="0"/>
          <w:bCs w:val="0"/>
          <w:color w:val="000000"/>
          <w:sz w:val="32"/>
          <w:szCs w:val="32"/>
        </w:rPr>
        <w:t>规划目标</w:t>
      </w:r>
    </w:p>
    <w:p w14:paraId="46AD4BF5">
      <w:pPr>
        <w:keepNext w:val="0"/>
        <w:keepLines w:val="0"/>
        <w:pageBreakBefore w:val="0"/>
        <w:widowControl w:val="0"/>
        <w:kinsoku/>
        <w:wordWrap/>
        <w:overflowPunct/>
        <w:topLinePunct w:val="0"/>
        <w:autoSpaceDE/>
        <w:autoSpaceDN/>
        <w:bidi w:val="0"/>
        <w:adjustRightInd/>
        <w:snapToGrid/>
        <w:spacing w:line="360" w:lineRule="auto"/>
        <w:ind w:left="0" w:right="0" w:firstLine="640" w:firstLineChars="200"/>
        <w:textAlignment w:val="auto"/>
        <w:rPr>
          <w:rFonts w:hint="eastAsia"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充分保护涂山—白乳泉风景名胜区的人文资源、自然景观资源和生态环境，真实完整地体现人文与自然景观的有机融合；在环境容量允许的前提下，结合涂山—白乳泉风景名胜区的自身发展特点，统筹区域整体发展格局，适度、有序地开展景观游览、文化体验、城市休闲、科普教育、康养运动等旅游活动，满足人民日益增长的美好生活需要；以生态环境保护和景区品质提升为首要前提，强化涂山—白乳泉风景名胜区的人文特色及城市山林的生态功能，进一步协调风景名胜区与城市关系；在规划实施的过程中，全面提升风景名胜区保护水平、管理水平和旅游服务设施水平，实现涂山—白乳泉风景名胜事业的稳定、健康、可持续发展；建设环境优良、功能健全、游赏舒适，在省内、国内具有一定影响力的风景名胜区。</w:t>
      </w:r>
    </w:p>
    <w:p w14:paraId="67C268AB">
      <w:pPr>
        <w:pStyle w:val="3"/>
        <w:keepNext w:val="0"/>
        <w:keepLines w:val="0"/>
        <w:pageBreakBefore w:val="0"/>
        <w:widowControl w:val="0"/>
        <w:numPr>
          <w:ilvl w:val="0"/>
          <w:numId w:val="0"/>
        </w:numPr>
        <w:kinsoku/>
        <w:wordWrap/>
        <w:overflowPunct/>
        <w:topLinePunct w:val="0"/>
        <w:autoSpaceDE/>
        <w:autoSpaceDN/>
        <w:bidi w:val="0"/>
        <w:adjustRightInd/>
        <w:snapToGrid/>
        <w:spacing w:before="0" w:after="0"/>
        <w:ind w:left="0" w:leftChars="0" w:right="0" w:firstLine="640" w:firstLineChars="200"/>
        <w:jc w:val="left"/>
        <w:textAlignment w:val="auto"/>
        <w:outlineLvl w:val="1"/>
        <w:rPr>
          <w:rFonts w:hint="eastAsia" w:ascii="黑体" w:hAnsi="黑体" w:eastAsia="黑体" w:cs="黑体"/>
          <w:b w:val="0"/>
          <w:bCs w:val="0"/>
          <w:color w:val="000000"/>
          <w:sz w:val="32"/>
          <w:szCs w:val="32"/>
        </w:rPr>
      </w:pPr>
      <w:bookmarkStart w:id="3" w:name="_Toc164894608"/>
      <w:bookmarkStart w:id="4" w:name="_Hlk157601336"/>
      <w:r>
        <w:rPr>
          <w:rFonts w:hint="eastAsia" w:ascii="黑体" w:hAnsi="黑体" w:eastAsia="黑体" w:cs="黑体"/>
          <w:b w:val="0"/>
          <w:bCs w:val="0"/>
          <w:color w:val="000000"/>
          <w:kern w:val="2"/>
          <w:sz w:val="32"/>
          <w:szCs w:val="32"/>
          <w:lang w:val="en-US" w:eastAsia="zh-CN" w:bidi="ar-SA"/>
        </w:rPr>
        <w:t>六、</w:t>
      </w:r>
      <w:r>
        <w:rPr>
          <w:rFonts w:hint="eastAsia" w:ascii="黑体" w:hAnsi="黑体" w:eastAsia="黑体" w:cs="黑体"/>
          <w:b w:val="0"/>
          <w:bCs w:val="0"/>
          <w:color w:val="000000"/>
          <w:sz w:val="32"/>
          <w:szCs w:val="32"/>
        </w:rPr>
        <w:t>资源分级</w:t>
      </w:r>
      <w:bookmarkEnd w:id="3"/>
      <w:r>
        <w:rPr>
          <w:rFonts w:hint="eastAsia" w:ascii="黑体" w:hAnsi="黑体" w:eastAsia="黑体" w:cs="黑体"/>
          <w:b w:val="0"/>
          <w:bCs w:val="0"/>
          <w:color w:val="000000"/>
          <w:sz w:val="32"/>
          <w:szCs w:val="32"/>
        </w:rPr>
        <w:t>保护</w:t>
      </w:r>
    </w:p>
    <w:bookmarkEnd w:id="4"/>
    <w:p w14:paraId="0056FE89">
      <w:pPr>
        <w:keepNext w:val="0"/>
        <w:keepLines w:val="0"/>
        <w:pageBreakBefore w:val="0"/>
        <w:widowControl w:val="0"/>
        <w:kinsoku/>
        <w:wordWrap/>
        <w:overflowPunct/>
        <w:topLinePunct w:val="0"/>
        <w:autoSpaceDE/>
        <w:autoSpaceDN/>
        <w:bidi w:val="0"/>
        <w:adjustRightInd/>
        <w:snapToGrid/>
        <w:spacing w:line="360" w:lineRule="auto"/>
        <w:ind w:left="0" w:right="0" w:firstLine="640" w:firstLineChars="200"/>
        <w:textAlignment w:val="auto"/>
        <w:rPr>
          <w:rFonts w:hint="eastAsia"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划分为一级、二级、三</w:t>
      </w:r>
      <w:r>
        <w:rPr>
          <w:rFonts w:hint="eastAsia" w:ascii="仿宋_GB2312" w:hAnsi="仿宋_GB2312" w:eastAsia="仿宋_GB2312" w:cs="仿宋_GB2312"/>
          <w:color w:val="000000"/>
          <w:sz w:val="32"/>
          <w:szCs w:val="32"/>
          <w:lang w:val="en-US" w:eastAsia="zh-CN"/>
        </w:rPr>
        <w:t>级</w:t>
      </w:r>
      <w:r>
        <w:rPr>
          <w:rFonts w:hint="eastAsia" w:ascii="仿宋_GB2312" w:hAnsi="仿宋_GB2312" w:eastAsia="仿宋_GB2312" w:cs="仿宋_GB2312"/>
          <w:color w:val="000000"/>
          <w:sz w:val="32"/>
          <w:szCs w:val="32"/>
        </w:rPr>
        <w:t>保护区三个层次，实施分级控制保护，并对一、二级保护区实施重点保护控制。</w:t>
      </w:r>
    </w:p>
    <w:p w14:paraId="11D99639">
      <w:pPr>
        <w:keepNext w:val="0"/>
        <w:keepLines w:val="0"/>
        <w:pageBreakBefore w:val="0"/>
        <w:widowControl w:val="0"/>
        <w:kinsoku/>
        <w:wordWrap/>
        <w:overflowPunct/>
        <w:topLinePunct w:val="0"/>
        <w:autoSpaceDE/>
        <w:autoSpaceDN/>
        <w:bidi w:val="0"/>
        <w:adjustRightInd/>
        <w:snapToGrid/>
        <w:spacing w:line="360" w:lineRule="auto"/>
        <w:ind w:left="0" w:right="0" w:firstLine="640" w:firstLineChars="200"/>
        <w:textAlignment w:val="auto"/>
        <w:rPr>
          <w:rFonts w:hint="eastAsia"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一级保护区包括涂山景区内的核心景区以现状森林防火通道为主要边界的涂山山体，包含禹王宫及其周边重要景源（启母石、台桑、圣泉、灵泉、启母涧等）所在的涂山主峰、四门山及白鹭栖息地、狮山、绿梅岭等，不包括村庄建设用地；黑虎山景区内的核心景区以现状森林防火通道为主要边界的黑虎山山体，包含石巷水库及其周围山体；荆山景区内的核心景区北至荆山北麓，西至荆山公墓边界北侧山脊线上的山体游览道，南至荆山南麓山脊线，东至大圣寺、古榴园、卞和洞等景源东侧的东麓山体边界。</w:t>
      </w:r>
    </w:p>
    <w:p w14:paraId="4F8874CB">
      <w:pPr>
        <w:keepNext w:val="0"/>
        <w:keepLines w:val="0"/>
        <w:pageBreakBefore w:val="0"/>
        <w:widowControl w:val="0"/>
        <w:kinsoku/>
        <w:wordWrap/>
        <w:overflowPunct/>
        <w:topLinePunct w:val="0"/>
        <w:autoSpaceDE/>
        <w:autoSpaceDN/>
        <w:bidi w:val="0"/>
        <w:adjustRightInd/>
        <w:snapToGrid/>
        <w:spacing w:line="360" w:lineRule="auto"/>
        <w:ind w:left="0" w:right="0" w:firstLine="640" w:firstLineChars="200"/>
        <w:textAlignment w:val="auto"/>
        <w:rPr>
          <w:rFonts w:hint="eastAsia"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二级保护区包括涂山景区除核心景区、旅游服务设施、发展控制区和军事用地以外的部分；黑虎山景区除核心景区、旅游服务设施和发展控制区以外的部分；蚌埠闸景区的水面部分；荆山景区除核心景区、发展控制区以外的部分；天河景区的水面部分。</w:t>
      </w:r>
    </w:p>
    <w:p w14:paraId="295238EB">
      <w:pPr>
        <w:keepNext w:val="0"/>
        <w:keepLines w:val="0"/>
        <w:pageBreakBefore w:val="0"/>
        <w:widowControl w:val="0"/>
        <w:kinsoku/>
        <w:wordWrap/>
        <w:overflowPunct/>
        <w:topLinePunct w:val="0"/>
        <w:autoSpaceDE/>
        <w:autoSpaceDN/>
        <w:bidi w:val="0"/>
        <w:adjustRightInd/>
        <w:snapToGrid/>
        <w:spacing w:line="360" w:lineRule="auto"/>
        <w:ind w:left="0" w:right="0"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color w:val="000000"/>
          <w:sz w:val="32"/>
          <w:szCs w:val="32"/>
        </w:rPr>
        <w:t>三级保护区为风景区范围内一级保护区、二级保护区以外的区域。</w:t>
      </w:r>
    </w:p>
    <w:p w14:paraId="59CE7EB0">
      <w:pPr>
        <w:pStyle w:val="3"/>
        <w:keepNext w:val="0"/>
        <w:keepLines w:val="0"/>
        <w:pageBreakBefore w:val="0"/>
        <w:widowControl w:val="0"/>
        <w:numPr>
          <w:ilvl w:val="0"/>
          <w:numId w:val="0"/>
        </w:numPr>
        <w:kinsoku/>
        <w:wordWrap/>
        <w:overflowPunct/>
        <w:topLinePunct w:val="0"/>
        <w:autoSpaceDE/>
        <w:autoSpaceDN/>
        <w:bidi w:val="0"/>
        <w:adjustRightInd/>
        <w:snapToGrid/>
        <w:spacing w:before="0" w:after="0"/>
        <w:ind w:left="0" w:right="0" w:firstLine="640" w:firstLineChars="200"/>
        <w:jc w:val="left"/>
        <w:textAlignment w:val="auto"/>
        <w:outlineLvl w:val="1"/>
        <w:rPr>
          <w:rFonts w:hint="eastAsia" w:ascii="黑体" w:hAnsi="黑体" w:eastAsia="黑体" w:cs="黑体"/>
          <w:b w:val="0"/>
          <w:bCs w:val="0"/>
          <w:color w:val="000000"/>
          <w:sz w:val="32"/>
          <w:szCs w:val="32"/>
        </w:rPr>
      </w:pPr>
      <w:bookmarkStart w:id="5" w:name="_Toc164894616"/>
      <w:bookmarkStart w:id="6" w:name="_Toc26263639"/>
      <w:r>
        <w:rPr>
          <w:rFonts w:hint="eastAsia" w:ascii="黑体" w:hAnsi="黑体" w:eastAsia="黑体" w:cs="黑体"/>
          <w:b w:val="0"/>
          <w:bCs w:val="0"/>
          <w:color w:val="000000"/>
          <w:kern w:val="2"/>
          <w:sz w:val="32"/>
          <w:szCs w:val="32"/>
          <w:lang w:val="en-US" w:eastAsia="zh-CN" w:bidi="ar-SA"/>
        </w:rPr>
        <w:t>七、</w:t>
      </w:r>
      <w:r>
        <w:rPr>
          <w:rFonts w:hint="eastAsia" w:ascii="黑体" w:hAnsi="黑体" w:eastAsia="黑体" w:cs="黑体"/>
          <w:b w:val="0"/>
          <w:bCs w:val="0"/>
          <w:color w:val="000000"/>
          <w:sz w:val="32"/>
          <w:szCs w:val="32"/>
        </w:rPr>
        <w:t>景区规划</w:t>
      </w:r>
      <w:bookmarkEnd w:id="5"/>
      <w:bookmarkEnd w:id="6"/>
    </w:p>
    <w:p w14:paraId="3CEBF8D2">
      <w:pPr>
        <w:keepNext w:val="0"/>
        <w:keepLines w:val="0"/>
        <w:pageBreakBefore w:val="0"/>
        <w:widowControl w:val="0"/>
        <w:kinsoku/>
        <w:wordWrap/>
        <w:overflowPunct/>
        <w:topLinePunct w:val="0"/>
        <w:autoSpaceDE/>
        <w:autoSpaceDN/>
        <w:bidi w:val="0"/>
        <w:adjustRightInd/>
        <w:snapToGrid/>
        <w:spacing w:line="360" w:lineRule="auto"/>
        <w:ind w:left="0" w:right="0" w:firstLine="643" w:firstLineChars="200"/>
        <w:textAlignment w:val="auto"/>
        <w:rPr>
          <w:rFonts w:hint="eastAsia" w:ascii="仿宋_GB2312" w:hAnsi="仿宋_GB2312" w:eastAsia="仿宋_GB2312" w:cs="仿宋_GB2312"/>
          <w:b/>
          <w:bCs/>
          <w:color w:val="000000"/>
          <w:sz w:val="32"/>
          <w:szCs w:val="32"/>
        </w:rPr>
      </w:pPr>
      <w:r>
        <w:rPr>
          <w:rFonts w:hint="eastAsia" w:ascii="仿宋_GB2312" w:hAnsi="仿宋_GB2312" w:eastAsia="仿宋_GB2312" w:cs="仿宋_GB2312"/>
          <w:b/>
          <w:bCs/>
          <w:color w:val="000000"/>
          <w:sz w:val="32"/>
          <w:szCs w:val="32"/>
        </w:rPr>
        <w:t>1.涂山景区</w:t>
      </w:r>
    </w:p>
    <w:p w14:paraId="1AC5DADE">
      <w:pPr>
        <w:keepNext w:val="0"/>
        <w:keepLines w:val="0"/>
        <w:pageBreakBefore w:val="0"/>
        <w:widowControl w:val="0"/>
        <w:kinsoku/>
        <w:wordWrap/>
        <w:overflowPunct/>
        <w:topLinePunct w:val="0"/>
        <w:autoSpaceDE/>
        <w:autoSpaceDN/>
        <w:bidi w:val="0"/>
        <w:adjustRightInd/>
        <w:snapToGrid/>
        <w:spacing w:line="360" w:lineRule="auto"/>
        <w:ind w:left="0" w:right="0" w:firstLine="640" w:firstLineChars="200"/>
        <w:textAlignment w:val="auto"/>
        <w:rPr>
          <w:rFonts w:hint="eastAsia"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面积12.97km</w:t>
      </w:r>
      <w:r>
        <w:rPr>
          <w:rFonts w:hint="eastAsia" w:ascii="仿宋_GB2312" w:hAnsi="仿宋_GB2312" w:eastAsia="仿宋_GB2312" w:cs="仿宋_GB2312"/>
          <w:color w:val="000000"/>
          <w:sz w:val="32"/>
          <w:szCs w:val="32"/>
          <w:vertAlign w:val="superscript"/>
        </w:rPr>
        <w:t>2</w:t>
      </w:r>
      <w:r>
        <w:rPr>
          <w:rFonts w:hint="eastAsia" w:ascii="仿宋_GB2312" w:hAnsi="仿宋_GB2312" w:eastAsia="仿宋_GB2312" w:cs="仿宋_GB2312"/>
          <w:color w:val="000000"/>
          <w:sz w:val="32"/>
          <w:szCs w:val="32"/>
        </w:rPr>
        <w:t>，是以大禹文化、淮河景观为特征，以“大禹圣地，登高怀古”为主题，以朝圣大禹、山岳游览、民俗体验为主要功能的风景游赏和休闲胜地，是全面展现大禹文化景观的核心区域。主要景群为涂山入口景群、禹王宫景群、女娇部落景群、小涂山景群、四门山景群。</w:t>
      </w:r>
    </w:p>
    <w:p w14:paraId="2265EA0C">
      <w:pPr>
        <w:keepNext w:val="0"/>
        <w:keepLines w:val="0"/>
        <w:pageBreakBefore w:val="0"/>
        <w:widowControl w:val="0"/>
        <w:kinsoku/>
        <w:wordWrap/>
        <w:overflowPunct/>
        <w:topLinePunct w:val="0"/>
        <w:autoSpaceDE/>
        <w:autoSpaceDN/>
        <w:bidi w:val="0"/>
        <w:adjustRightInd/>
        <w:snapToGrid/>
        <w:spacing w:line="360" w:lineRule="auto"/>
        <w:ind w:left="0" w:right="0" w:firstLine="643" w:firstLineChars="200"/>
        <w:textAlignment w:val="auto"/>
        <w:rPr>
          <w:rFonts w:hint="eastAsia" w:ascii="仿宋_GB2312" w:hAnsi="仿宋_GB2312" w:eastAsia="仿宋_GB2312" w:cs="仿宋_GB2312"/>
          <w:b/>
          <w:bCs/>
          <w:color w:val="000000"/>
          <w:sz w:val="32"/>
          <w:szCs w:val="32"/>
        </w:rPr>
      </w:pPr>
      <w:r>
        <w:rPr>
          <w:rFonts w:hint="eastAsia" w:ascii="仿宋_GB2312" w:hAnsi="仿宋_GB2312" w:eastAsia="仿宋_GB2312" w:cs="仿宋_GB2312"/>
          <w:b/>
          <w:bCs/>
          <w:color w:val="000000"/>
          <w:sz w:val="32"/>
          <w:szCs w:val="32"/>
        </w:rPr>
        <w:t>2.荆山景区</w:t>
      </w:r>
    </w:p>
    <w:p w14:paraId="00F4AED2">
      <w:pPr>
        <w:keepNext w:val="0"/>
        <w:keepLines w:val="0"/>
        <w:pageBreakBefore w:val="0"/>
        <w:widowControl w:val="0"/>
        <w:kinsoku/>
        <w:wordWrap/>
        <w:overflowPunct/>
        <w:topLinePunct w:val="0"/>
        <w:autoSpaceDE/>
        <w:autoSpaceDN/>
        <w:bidi w:val="0"/>
        <w:adjustRightInd/>
        <w:snapToGrid/>
        <w:spacing w:line="360" w:lineRule="auto"/>
        <w:ind w:left="0" w:right="0" w:firstLine="640" w:firstLineChars="200"/>
        <w:textAlignment w:val="auto"/>
        <w:rPr>
          <w:rFonts w:hint="eastAsia"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面积3.39km</w:t>
      </w:r>
      <w:r>
        <w:rPr>
          <w:rFonts w:hint="eastAsia" w:ascii="仿宋_GB2312" w:hAnsi="仿宋_GB2312" w:eastAsia="仿宋_GB2312" w:cs="仿宋_GB2312"/>
          <w:color w:val="000000"/>
          <w:sz w:val="32"/>
          <w:szCs w:val="32"/>
          <w:vertAlign w:val="superscript"/>
        </w:rPr>
        <w:t>2</w:t>
      </w:r>
      <w:r>
        <w:rPr>
          <w:rFonts w:hint="eastAsia" w:ascii="仿宋_GB2312" w:hAnsi="仿宋_GB2312" w:eastAsia="仿宋_GB2312" w:cs="仿宋_GB2312"/>
          <w:color w:val="000000"/>
          <w:sz w:val="32"/>
          <w:szCs w:val="32"/>
        </w:rPr>
        <w:t>，是</w:t>
      </w:r>
      <w:bookmarkStart w:id="7" w:name="_Hlk160984012"/>
      <w:bookmarkStart w:id="8" w:name="_Hlk164890688"/>
      <w:r>
        <w:rPr>
          <w:rFonts w:hint="eastAsia" w:ascii="仿宋_GB2312" w:hAnsi="仿宋_GB2312" w:eastAsia="仿宋_GB2312" w:cs="仿宋_GB2312"/>
          <w:color w:val="000000"/>
          <w:sz w:val="32"/>
          <w:szCs w:val="32"/>
        </w:rPr>
        <w:t>以夏启文化、古石榴群落、山泉景观为特征</w:t>
      </w:r>
      <w:bookmarkEnd w:id="7"/>
      <w:r>
        <w:rPr>
          <w:rFonts w:hint="eastAsia" w:ascii="仿宋_GB2312" w:hAnsi="仿宋_GB2312" w:eastAsia="仿宋_GB2312" w:cs="仿宋_GB2312"/>
          <w:color w:val="000000"/>
          <w:sz w:val="32"/>
          <w:szCs w:val="32"/>
        </w:rPr>
        <w:t>，以“探幽山林、访古夏启”为主题，以</w:t>
      </w:r>
      <w:bookmarkStart w:id="9" w:name="_Hlk160984054"/>
      <w:r>
        <w:rPr>
          <w:rFonts w:hint="eastAsia" w:ascii="仿宋_GB2312" w:hAnsi="仿宋_GB2312" w:eastAsia="仿宋_GB2312" w:cs="仿宋_GB2312"/>
          <w:color w:val="000000"/>
          <w:sz w:val="32"/>
          <w:szCs w:val="32"/>
        </w:rPr>
        <w:t>风景游赏、探幽访古、文化体验</w:t>
      </w:r>
      <w:bookmarkEnd w:id="9"/>
      <w:r>
        <w:rPr>
          <w:rFonts w:hint="eastAsia" w:ascii="仿宋_GB2312" w:hAnsi="仿宋_GB2312" w:eastAsia="仿宋_GB2312" w:cs="仿宋_GB2312"/>
          <w:color w:val="000000"/>
          <w:sz w:val="32"/>
          <w:szCs w:val="32"/>
        </w:rPr>
        <w:t>为主要功能的景区，是全面展现大禹文化景观的重要区域。</w:t>
      </w:r>
      <w:bookmarkEnd w:id="8"/>
      <w:r>
        <w:rPr>
          <w:rFonts w:hint="eastAsia" w:ascii="仿宋_GB2312" w:hAnsi="仿宋_GB2312" w:eastAsia="仿宋_GB2312" w:cs="仿宋_GB2312"/>
          <w:color w:val="000000"/>
          <w:sz w:val="32"/>
          <w:szCs w:val="32"/>
        </w:rPr>
        <w:t>主要景群为白乳泉景群、卞和洞景群、启王宫景群。</w:t>
      </w:r>
    </w:p>
    <w:p w14:paraId="72E1E5ED">
      <w:pPr>
        <w:keepNext w:val="0"/>
        <w:keepLines w:val="0"/>
        <w:pageBreakBefore w:val="0"/>
        <w:widowControl w:val="0"/>
        <w:kinsoku/>
        <w:wordWrap/>
        <w:overflowPunct/>
        <w:topLinePunct w:val="0"/>
        <w:autoSpaceDE/>
        <w:autoSpaceDN/>
        <w:bidi w:val="0"/>
        <w:adjustRightInd/>
        <w:snapToGrid/>
        <w:spacing w:line="360" w:lineRule="auto"/>
        <w:ind w:left="0" w:right="0" w:firstLine="643" w:firstLineChars="200"/>
        <w:textAlignment w:val="auto"/>
        <w:rPr>
          <w:rFonts w:hint="eastAsia" w:ascii="仿宋_GB2312" w:hAnsi="仿宋_GB2312" w:eastAsia="仿宋_GB2312" w:cs="仿宋_GB2312"/>
          <w:b/>
          <w:bCs/>
          <w:color w:val="000000"/>
          <w:sz w:val="32"/>
          <w:szCs w:val="32"/>
        </w:rPr>
      </w:pPr>
      <w:r>
        <w:rPr>
          <w:rFonts w:hint="eastAsia" w:ascii="仿宋_GB2312" w:hAnsi="仿宋_GB2312" w:eastAsia="仿宋_GB2312" w:cs="仿宋_GB2312"/>
          <w:b/>
          <w:bCs/>
          <w:color w:val="000000"/>
          <w:sz w:val="32"/>
          <w:szCs w:val="32"/>
        </w:rPr>
        <w:t>3.黑虎山景区</w:t>
      </w:r>
    </w:p>
    <w:p w14:paraId="4AD89988">
      <w:pPr>
        <w:keepNext w:val="0"/>
        <w:keepLines w:val="0"/>
        <w:pageBreakBefore w:val="0"/>
        <w:widowControl w:val="0"/>
        <w:kinsoku/>
        <w:wordWrap/>
        <w:overflowPunct/>
        <w:topLinePunct w:val="0"/>
        <w:autoSpaceDE/>
        <w:autoSpaceDN/>
        <w:bidi w:val="0"/>
        <w:adjustRightInd/>
        <w:snapToGrid/>
        <w:spacing w:line="360" w:lineRule="auto"/>
        <w:ind w:left="0" w:right="0" w:firstLine="640" w:firstLineChars="200"/>
        <w:textAlignment w:val="auto"/>
        <w:rPr>
          <w:rFonts w:hint="eastAsia" w:ascii="仿宋_GB2312" w:hAnsi="仿宋_GB2312" w:eastAsia="仿宋_GB2312" w:cs="仿宋_GB2312"/>
          <w:color w:val="000000"/>
          <w:sz w:val="32"/>
          <w:szCs w:val="32"/>
        </w:rPr>
      </w:pPr>
      <w:bookmarkStart w:id="10" w:name="_Hlk157001857"/>
      <w:r>
        <w:rPr>
          <w:rFonts w:hint="eastAsia" w:ascii="仿宋_GB2312" w:hAnsi="仿宋_GB2312" w:eastAsia="仿宋_GB2312" w:cs="仿宋_GB2312"/>
          <w:color w:val="000000"/>
          <w:sz w:val="32"/>
          <w:szCs w:val="32"/>
        </w:rPr>
        <w:t>面积8.29</w:t>
      </w:r>
      <w:bookmarkStart w:id="21" w:name="_GoBack"/>
      <w:bookmarkEnd w:id="21"/>
      <w:r>
        <w:rPr>
          <w:rFonts w:hint="eastAsia" w:ascii="仿宋_GB2312" w:hAnsi="仿宋_GB2312" w:eastAsia="仿宋_GB2312" w:cs="仿宋_GB2312"/>
          <w:color w:val="000000"/>
          <w:sz w:val="32"/>
          <w:szCs w:val="32"/>
        </w:rPr>
        <w:t>km</w:t>
      </w:r>
      <w:r>
        <w:rPr>
          <w:rFonts w:hint="eastAsia" w:ascii="仿宋_GB2312" w:hAnsi="仿宋_GB2312" w:eastAsia="仿宋_GB2312" w:cs="仿宋_GB2312"/>
          <w:color w:val="000000"/>
          <w:sz w:val="32"/>
          <w:szCs w:val="32"/>
          <w:vertAlign w:val="superscript"/>
        </w:rPr>
        <w:t>2</w:t>
      </w:r>
      <w:r>
        <w:rPr>
          <w:rFonts w:hint="eastAsia" w:ascii="仿宋_GB2312" w:hAnsi="仿宋_GB2312" w:eastAsia="仿宋_GB2312" w:cs="仿宋_GB2312"/>
          <w:color w:val="000000"/>
          <w:sz w:val="32"/>
          <w:szCs w:val="32"/>
        </w:rPr>
        <w:t>，</w:t>
      </w:r>
      <w:bookmarkStart w:id="11" w:name="_Hlk164891196"/>
      <w:r>
        <w:rPr>
          <w:rFonts w:hint="eastAsia" w:ascii="仿宋_GB2312" w:hAnsi="仿宋_GB2312" w:eastAsia="仿宋_GB2312" w:cs="仿宋_GB2312"/>
          <w:color w:val="000000"/>
          <w:sz w:val="32"/>
          <w:szCs w:val="32"/>
        </w:rPr>
        <w:t>是以</w:t>
      </w:r>
      <w:bookmarkStart w:id="12" w:name="_Hlk160984274"/>
      <w:r>
        <w:rPr>
          <w:rFonts w:hint="eastAsia" w:ascii="仿宋_GB2312" w:hAnsi="仿宋_GB2312" w:eastAsia="仿宋_GB2312" w:cs="仿宋_GB2312"/>
          <w:color w:val="000000"/>
          <w:sz w:val="32"/>
          <w:szCs w:val="32"/>
        </w:rPr>
        <w:t>山林、水库为景观特征</w:t>
      </w:r>
      <w:bookmarkEnd w:id="12"/>
      <w:r>
        <w:rPr>
          <w:rFonts w:hint="eastAsia" w:ascii="仿宋_GB2312" w:hAnsi="仿宋_GB2312" w:eastAsia="仿宋_GB2312" w:cs="仿宋_GB2312"/>
          <w:color w:val="000000"/>
          <w:sz w:val="32"/>
          <w:szCs w:val="32"/>
        </w:rPr>
        <w:t>，以“山林运动、自然教育”为主题，以</w:t>
      </w:r>
      <w:bookmarkStart w:id="13" w:name="_Hlk160984298"/>
      <w:r>
        <w:rPr>
          <w:rFonts w:hint="eastAsia" w:ascii="仿宋_GB2312" w:hAnsi="仿宋_GB2312" w:eastAsia="仿宋_GB2312" w:cs="仿宋_GB2312"/>
          <w:color w:val="000000"/>
          <w:sz w:val="32"/>
          <w:szCs w:val="32"/>
        </w:rPr>
        <w:t>户外拓展、山林休闲、国防教育</w:t>
      </w:r>
      <w:bookmarkEnd w:id="13"/>
      <w:r>
        <w:rPr>
          <w:rFonts w:hint="eastAsia" w:ascii="仿宋_GB2312" w:hAnsi="仿宋_GB2312" w:eastAsia="仿宋_GB2312" w:cs="仿宋_GB2312"/>
          <w:color w:val="000000"/>
          <w:sz w:val="32"/>
          <w:szCs w:val="32"/>
        </w:rPr>
        <w:t>为主要功能的景区。</w:t>
      </w:r>
      <w:bookmarkEnd w:id="11"/>
      <w:r>
        <w:rPr>
          <w:rFonts w:hint="eastAsia" w:ascii="仿宋_GB2312" w:hAnsi="仿宋_GB2312" w:eastAsia="仿宋_GB2312" w:cs="仿宋_GB2312"/>
          <w:color w:val="000000"/>
          <w:sz w:val="32"/>
          <w:szCs w:val="32"/>
        </w:rPr>
        <w:t>包括石巷水库景群和国防教育基地景群。</w:t>
      </w:r>
    </w:p>
    <w:bookmarkEnd w:id="10"/>
    <w:p w14:paraId="1E2336E5">
      <w:pPr>
        <w:keepNext w:val="0"/>
        <w:keepLines w:val="0"/>
        <w:pageBreakBefore w:val="0"/>
        <w:widowControl w:val="0"/>
        <w:kinsoku/>
        <w:wordWrap/>
        <w:overflowPunct/>
        <w:topLinePunct w:val="0"/>
        <w:autoSpaceDE/>
        <w:autoSpaceDN/>
        <w:bidi w:val="0"/>
        <w:adjustRightInd/>
        <w:snapToGrid/>
        <w:spacing w:line="360" w:lineRule="auto"/>
        <w:ind w:left="0" w:right="0" w:firstLine="643" w:firstLineChars="200"/>
        <w:textAlignment w:val="auto"/>
        <w:rPr>
          <w:rFonts w:hint="eastAsia" w:ascii="仿宋_GB2312" w:hAnsi="仿宋_GB2312" w:eastAsia="仿宋_GB2312" w:cs="仿宋_GB2312"/>
          <w:b/>
          <w:bCs/>
          <w:color w:val="000000"/>
          <w:sz w:val="32"/>
          <w:szCs w:val="32"/>
        </w:rPr>
      </w:pPr>
      <w:r>
        <w:rPr>
          <w:rFonts w:hint="eastAsia" w:ascii="仿宋_GB2312" w:hAnsi="仿宋_GB2312" w:eastAsia="仿宋_GB2312" w:cs="仿宋_GB2312"/>
          <w:b/>
          <w:bCs/>
          <w:color w:val="000000"/>
          <w:sz w:val="32"/>
          <w:szCs w:val="32"/>
        </w:rPr>
        <w:t>4.蚌埠闸景区</w:t>
      </w:r>
    </w:p>
    <w:p w14:paraId="7EF32C43">
      <w:pPr>
        <w:keepNext w:val="0"/>
        <w:keepLines w:val="0"/>
        <w:pageBreakBefore w:val="0"/>
        <w:widowControl w:val="0"/>
        <w:kinsoku/>
        <w:wordWrap/>
        <w:overflowPunct/>
        <w:topLinePunct w:val="0"/>
        <w:autoSpaceDE/>
        <w:autoSpaceDN/>
        <w:bidi w:val="0"/>
        <w:adjustRightInd/>
        <w:snapToGrid/>
        <w:spacing w:line="360" w:lineRule="auto"/>
        <w:ind w:left="0" w:right="0" w:firstLine="640" w:firstLineChars="200"/>
        <w:textAlignment w:val="auto"/>
        <w:rPr>
          <w:rFonts w:hint="eastAsia"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面积3.03km</w:t>
      </w:r>
      <w:r>
        <w:rPr>
          <w:rFonts w:hint="eastAsia" w:ascii="仿宋_GB2312" w:hAnsi="仿宋_GB2312" w:eastAsia="仿宋_GB2312" w:cs="仿宋_GB2312"/>
          <w:color w:val="000000"/>
          <w:sz w:val="32"/>
          <w:szCs w:val="32"/>
          <w:vertAlign w:val="superscript"/>
        </w:rPr>
        <w:t>2</w:t>
      </w:r>
      <w:r>
        <w:rPr>
          <w:rFonts w:hint="eastAsia" w:ascii="仿宋_GB2312" w:hAnsi="仿宋_GB2312" w:eastAsia="仿宋_GB2312" w:cs="仿宋_GB2312"/>
          <w:color w:val="000000"/>
          <w:sz w:val="32"/>
          <w:szCs w:val="32"/>
        </w:rPr>
        <w:t>，是</w:t>
      </w:r>
      <w:bookmarkStart w:id="14" w:name="_Hlk164891481"/>
      <w:r>
        <w:rPr>
          <w:rFonts w:hint="eastAsia" w:ascii="仿宋_GB2312" w:hAnsi="仿宋_GB2312" w:eastAsia="仿宋_GB2312" w:cs="仿宋_GB2312"/>
          <w:color w:val="000000"/>
          <w:sz w:val="32"/>
          <w:szCs w:val="32"/>
        </w:rPr>
        <w:t>以淮河湿地、水利枢纽为景观特征，以“水利科普、生态休闲”为主题，以水利科普教育、湿地观光休闲为主要功能的景区</w:t>
      </w:r>
      <w:bookmarkEnd w:id="14"/>
      <w:r>
        <w:rPr>
          <w:rFonts w:hint="eastAsia" w:ascii="仿宋_GB2312" w:hAnsi="仿宋_GB2312" w:eastAsia="仿宋_GB2312" w:cs="仿宋_GB2312"/>
          <w:color w:val="000000"/>
          <w:sz w:val="32"/>
          <w:szCs w:val="32"/>
        </w:rPr>
        <w:t>。</w:t>
      </w:r>
    </w:p>
    <w:p w14:paraId="06DA1DA8">
      <w:pPr>
        <w:keepNext w:val="0"/>
        <w:keepLines w:val="0"/>
        <w:pageBreakBefore w:val="0"/>
        <w:widowControl w:val="0"/>
        <w:kinsoku/>
        <w:wordWrap/>
        <w:overflowPunct/>
        <w:topLinePunct w:val="0"/>
        <w:autoSpaceDE/>
        <w:autoSpaceDN/>
        <w:bidi w:val="0"/>
        <w:adjustRightInd/>
        <w:snapToGrid/>
        <w:spacing w:line="360" w:lineRule="auto"/>
        <w:ind w:left="0" w:right="0" w:firstLine="643" w:firstLineChars="200"/>
        <w:textAlignment w:val="auto"/>
        <w:rPr>
          <w:rFonts w:hint="eastAsia" w:ascii="仿宋_GB2312" w:hAnsi="仿宋_GB2312" w:eastAsia="仿宋_GB2312" w:cs="仿宋_GB2312"/>
          <w:b/>
          <w:bCs/>
          <w:color w:val="000000"/>
          <w:sz w:val="32"/>
          <w:szCs w:val="32"/>
        </w:rPr>
      </w:pPr>
      <w:r>
        <w:rPr>
          <w:rFonts w:hint="eastAsia" w:ascii="仿宋_GB2312" w:hAnsi="仿宋_GB2312" w:eastAsia="仿宋_GB2312" w:cs="仿宋_GB2312"/>
          <w:b/>
          <w:bCs/>
          <w:color w:val="000000"/>
          <w:sz w:val="32"/>
          <w:szCs w:val="32"/>
        </w:rPr>
        <w:t>5.天河景区</w:t>
      </w:r>
    </w:p>
    <w:p w14:paraId="5B83F688">
      <w:pPr>
        <w:keepNext w:val="0"/>
        <w:keepLines w:val="0"/>
        <w:pageBreakBefore w:val="0"/>
        <w:widowControl w:val="0"/>
        <w:kinsoku/>
        <w:wordWrap/>
        <w:overflowPunct/>
        <w:topLinePunct w:val="0"/>
        <w:autoSpaceDE/>
        <w:autoSpaceDN/>
        <w:bidi w:val="0"/>
        <w:adjustRightInd/>
        <w:snapToGrid/>
        <w:spacing w:line="360" w:lineRule="auto"/>
        <w:ind w:left="0" w:right="0" w:firstLine="640" w:firstLineChars="200"/>
        <w:textAlignment w:val="auto"/>
        <w:rPr>
          <w:rFonts w:hint="eastAsia"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面积34.83km</w:t>
      </w:r>
      <w:r>
        <w:rPr>
          <w:rFonts w:hint="eastAsia" w:ascii="仿宋_GB2312" w:hAnsi="仿宋_GB2312" w:eastAsia="仿宋_GB2312" w:cs="仿宋_GB2312"/>
          <w:color w:val="000000"/>
          <w:sz w:val="32"/>
          <w:szCs w:val="32"/>
          <w:vertAlign w:val="superscript"/>
        </w:rPr>
        <w:t>2</w:t>
      </w:r>
      <w:r>
        <w:rPr>
          <w:rFonts w:hint="eastAsia" w:ascii="仿宋_GB2312" w:hAnsi="仿宋_GB2312" w:eastAsia="仿宋_GB2312" w:cs="仿宋_GB2312"/>
          <w:color w:val="000000"/>
          <w:sz w:val="32"/>
          <w:szCs w:val="32"/>
        </w:rPr>
        <w:t>，</w:t>
      </w:r>
      <w:bookmarkStart w:id="15" w:name="_Hlk160984467"/>
      <w:r>
        <w:rPr>
          <w:rFonts w:hint="eastAsia" w:ascii="仿宋_GB2312" w:hAnsi="仿宋_GB2312" w:eastAsia="仿宋_GB2312" w:cs="仿宋_GB2312"/>
          <w:color w:val="000000"/>
          <w:sz w:val="32"/>
          <w:szCs w:val="32"/>
        </w:rPr>
        <w:t>是</w:t>
      </w:r>
      <w:bookmarkStart w:id="16" w:name="_Hlk164891644"/>
      <w:r>
        <w:rPr>
          <w:rFonts w:hint="eastAsia" w:ascii="仿宋_GB2312" w:hAnsi="仿宋_GB2312" w:eastAsia="仿宋_GB2312" w:cs="仿宋_GB2312"/>
          <w:color w:val="000000"/>
          <w:sz w:val="32"/>
          <w:szCs w:val="32"/>
        </w:rPr>
        <w:t>延续涂山大禹文化主线，以“夏禹功绩，天河湿地”为主题，以新石器时代文化、花鼓灯民俗文化，天河湿地、田园风光</w:t>
      </w:r>
      <w:bookmarkEnd w:id="15"/>
      <w:r>
        <w:rPr>
          <w:rFonts w:hint="eastAsia" w:ascii="仿宋_GB2312" w:hAnsi="仿宋_GB2312" w:eastAsia="仿宋_GB2312" w:cs="仿宋_GB2312"/>
          <w:color w:val="000000"/>
          <w:sz w:val="32"/>
          <w:szCs w:val="32"/>
        </w:rPr>
        <w:t>为特色，</w:t>
      </w:r>
      <w:bookmarkStart w:id="17" w:name="_Hlk160984493"/>
      <w:r>
        <w:rPr>
          <w:rFonts w:hint="eastAsia" w:ascii="仿宋_GB2312" w:hAnsi="仿宋_GB2312" w:eastAsia="仿宋_GB2312" w:cs="仿宋_GB2312"/>
          <w:color w:val="000000"/>
          <w:sz w:val="32"/>
          <w:szCs w:val="32"/>
        </w:rPr>
        <w:t>以休闲观光、考古研究、文化体验</w:t>
      </w:r>
      <w:bookmarkEnd w:id="17"/>
      <w:r>
        <w:rPr>
          <w:rFonts w:hint="eastAsia" w:ascii="仿宋_GB2312" w:hAnsi="仿宋_GB2312" w:eastAsia="仿宋_GB2312" w:cs="仿宋_GB2312"/>
          <w:color w:val="000000"/>
          <w:sz w:val="32"/>
          <w:szCs w:val="32"/>
        </w:rPr>
        <w:t>为主要功能的景区。</w:t>
      </w:r>
      <w:bookmarkEnd w:id="16"/>
      <w:bookmarkStart w:id="18" w:name="_Hlk164891674"/>
      <w:r>
        <w:rPr>
          <w:rFonts w:hint="eastAsia" w:ascii="仿宋_GB2312" w:hAnsi="仿宋_GB2312" w:eastAsia="仿宋_GB2312" w:cs="仿宋_GB2312"/>
          <w:color w:val="000000"/>
          <w:sz w:val="32"/>
          <w:szCs w:val="32"/>
        </w:rPr>
        <w:t>是</w:t>
      </w:r>
      <w:bookmarkStart w:id="19" w:name="_Hlk160984522"/>
      <w:r>
        <w:rPr>
          <w:rFonts w:hint="eastAsia" w:ascii="仿宋_GB2312" w:hAnsi="仿宋_GB2312" w:eastAsia="仿宋_GB2312" w:cs="仿宋_GB2312"/>
          <w:color w:val="000000"/>
          <w:sz w:val="32"/>
          <w:szCs w:val="32"/>
        </w:rPr>
        <w:t>全面展现大禹文化景观</w:t>
      </w:r>
      <w:bookmarkEnd w:id="19"/>
      <w:r>
        <w:rPr>
          <w:rFonts w:hint="eastAsia" w:ascii="仿宋_GB2312" w:hAnsi="仿宋_GB2312" w:eastAsia="仿宋_GB2312" w:cs="仿宋_GB2312"/>
          <w:color w:val="000000"/>
          <w:sz w:val="32"/>
          <w:szCs w:val="32"/>
        </w:rPr>
        <w:t>的重要区域。</w:t>
      </w:r>
      <w:bookmarkEnd w:id="18"/>
      <w:r>
        <w:rPr>
          <w:rFonts w:hint="eastAsia" w:ascii="仿宋_GB2312" w:hAnsi="仿宋_GB2312" w:eastAsia="仿宋_GB2312" w:cs="仿宋_GB2312"/>
          <w:color w:val="000000"/>
          <w:sz w:val="32"/>
          <w:szCs w:val="32"/>
        </w:rPr>
        <w:t>包括花博园景群、农耕文化景群、禹会村景群、水乡泽国景群、天河湿地景群。</w:t>
      </w:r>
    </w:p>
    <w:p w14:paraId="1D0CF390">
      <w:pPr>
        <w:pStyle w:val="3"/>
        <w:keepNext w:val="0"/>
        <w:keepLines w:val="0"/>
        <w:pageBreakBefore w:val="0"/>
        <w:widowControl w:val="0"/>
        <w:numPr>
          <w:ilvl w:val="0"/>
          <w:numId w:val="0"/>
        </w:numPr>
        <w:kinsoku/>
        <w:wordWrap/>
        <w:overflowPunct/>
        <w:topLinePunct w:val="0"/>
        <w:autoSpaceDE/>
        <w:autoSpaceDN/>
        <w:bidi w:val="0"/>
        <w:adjustRightInd/>
        <w:snapToGrid/>
        <w:spacing w:before="0" w:after="0"/>
        <w:ind w:left="0" w:leftChars="0" w:right="0" w:firstLine="640" w:firstLineChars="200"/>
        <w:jc w:val="left"/>
        <w:textAlignment w:val="auto"/>
        <w:outlineLvl w:val="1"/>
        <w:rPr>
          <w:rFonts w:hint="eastAsia" w:ascii="黑体" w:hAnsi="黑体" w:eastAsia="黑体" w:cs="黑体"/>
          <w:b w:val="0"/>
          <w:bCs w:val="0"/>
          <w:color w:val="000000"/>
          <w:sz w:val="32"/>
          <w:szCs w:val="32"/>
        </w:rPr>
      </w:pPr>
      <w:r>
        <w:rPr>
          <w:rFonts w:hint="eastAsia" w:ascii="黑体" w:hAnsi="黑体" w:eastAsia="黑体" w:cs="黑体"/>
          <w:b w:val="0"/>
          <w:bCs w:val="0"/>
          <w:color w:val="000000"/>
          <w:kern w:val="2"/>
          <w:sz w:val="32"/>
          <w:szCs w:val="32"/>
          <w:lang w:val="en-US" w:eastAsia="zh-CN" w:bidi="ar-SA"/>
        </w:rPr>
        <w:t>八、</w:t>
      </w:r>
      <w:r>
        <w:rPr>
          <w:rFonts w:hint="eastAsia" w:ascii="黑体" w:hAnsi="黑体" w:eastAsia="黑体" w:cs="黑体"/>
          <w:b w:val="0"/>
          <w:bCs w:val="0"/>
          <w:color w:val="000000"/>
          <w:sz w:val="32"/>
          <w:szCs w:val="32"/>
        </w:rPr>
        <w:t>旅游服务设施规划</w:t>
      </w:r>
    </w:p>
    <w:p w14:paraId="552D7556">
      <w:pPr>
        <w:keepNext w:val="0"/>
        <w:keepLines w:val="0"/>
        <w:pageBreakBefore w:val="0"/>
        <w:widowControl w:val="0"/>
        <w:kinsoku/>
        <w:wordWrap/>
        <w:overflowPunct/>
        <w:topLinePunct w:val="0"/>
        <w:autoSpaceDE/>
        <w:autoSpaceDN/>
        <w:bidi w:val="0"/>
        <w:adjustRightInd/>
        <w:snapToGrid/>
        <w:spacing w:line="360" w:lineRule="auto"/>
        <w:ind w:left="0" w:right="0" w:firstLine="640" w:firstLineChars="200"/>
        <w:textAlignment w:val="auto"/>
        <w:rPr>
          <w:rFonts w:hint="eastAsia"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规划设置旅游城级服务基地2处（蚌埠市区、怀远县城）、旅游镇级服务基地1处（马城镇镇区）、旅游村级服务基地2处（涂山园艺场旅游村、花博园旅游村）、旅游点级服务基地12处（涂山入口旅游点、冯嘴村旅游点、女娇部落旅游点、下洪村旅游点、杜郢村旅游点、涂山村旅游点、国防教育基地旅游点、石巷村旅游点、宗洼村旅游点、枣林村旅游点、禹会村旅游点、荆山东入口旅游点）、服务部级服务基地23处。</w:t>
      </w:r>
    </w:p>
    <w:p w14:paraId="454BA639">
      <w:pPr>
        <w:pStyle w:val="3"/>
        <w:keepNext w:val="0"/>
        <w:keepLines w:val="0"/>
        <w:pageBreakBefore w:val="0"/>
        <w:widowControl w:val="0"/>
        <w:numPr>
          <w:ilvl w:val="0"/>
          <w:numId w:val="0"/>
        </w:numPr>
        <w:kinsoku/>
        <w:wordWrap/>
        <w:overflowPunct/>
        <w:topLinePunct w:val="0"/>
        <w:autoSpaceDE/>
        <w:autoSpaceDN/>
        <w:bidi w:val="0"/>
        <w:adjustRightInd/>
        <w:snapToGrid/>
        <w:spacing w:before="0" w:after="0"/>
        <w:ind w:left="0" w:leftChars="0" w:right="0" w:firstLine="640" w:firstLineChars="200"/>
        <w:jc w:val="left"/>
        <w:textAlignment w:val="auto"/>
        <w:outlineLvl w:val="1"/>
        <w:rPr>
          <w:rFonts w:hint="eastAsia" w:ascii="黑体" w:hAnsi="黑体" w:eastAsia="黑体" w:cs="黑体"/>
          <w:color w:val="000000"/>
          <w:sz w:val="32"/>
          <w:szCs w:val="32"/>
        </w:rPr>
      </w:pPr>
      <w:r>
        <w:rPr>
          <w:rFonts w:hint="eastAsia" w:ascii="黑体" w:hAnsi="黑体" w:eastAsia="黑体" w:cs="黑体"/>
          <w:b w:val="0"/>
          <w:bCs w:val="0"/>
          <w:color w:val="000000"/>
          <w:kern w:val="2"/>
          <w:sz w:val="32"/>
          <w:szCs w:val="32"/>
          <w:lang w:val="en-US" w:eastAsia="zh-CN" w:bidi="ar-SA"/>
        </w:rPr>
        <w:t>九、</w:t>
      </w:r>
      <w:r>
        <w:rPr>
          <w:rFonts w:hint="eastAsia" w:ascii="黑体" w:hAnsi="黑体" w:eastAsia="黑体" w:cs="黑体"/>
          <w:b w:val="0"/>
          <w:bCs w:val="0"/>
          <w:color w:val="000000"/>
          <w:sz w:val="32"/>
          <w:szCs w:val="32"/>
        </w:rPr>
        <w:t>保障措施和下一步计划</w:t>
      </w:r>
    </w:p>
    <w:p w14:paraId="7478D9EA">
      <w:pPr>
        <w:keepNext w:val="0"/>
        <w:keepLines w:val="0"/>
        <w:pageBreakBefore w:val="0"/>
        <w:widowControl w:val="0"/>
        <w:kinsoku/>
        <w:wordWrap/>
        <w:overflowPunct/>
        <w:topLinePunct w:val="0"/>
        <w:autoSpaceDE/>
        <w:autoSpaceDN/>
        <w:bidi w:val="0"/>
        <w:adjustRightInd/>
        <w:snapToGrid/>
        <w:spacing w:line="360" w:lineRule="auto"/>
        <w:ind w:left="0" w:right="0" w:firstLine="640" w:firstLineChars="200"/>
        <w:textAlignment w:val="auto"/>
        <w:rPr>
          <w:rFonts w:hint="eastAsia"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根据《总体规划》，下一步主要做好景区详细规划工作，为景区优化利用做好准备，同时做好风景名胜区核心景区勘界定标，设置各类指示、警示牌工作，建立健全各种保护制度与措施。积极关注风景名胜区类保护和建设的政策信息，提前做好项目可研报告编制工作，纳入项目库，积极争取各类项目资金用于保护和建设涂山-白乳泉风景名胜区。</w:t>
      </w:r>
    </w:p>
    <w:p w14:paraId="0C164403">
      <w:pPr>
        <w:keepNext w:val="0"/>
        <w:keepLines w:val="0"/>
        <w:pageBreakBefore w:val="0"/>
        <w:widowControl w:val="0"/>
        <w:kinsoku/>
        <w:wordWrap/>
        <w:overflowPunct/>
        <w:topLinePunct w:val="0"/>
        <w:autoSpaceDE/>
        <w:autoSpaceDN/>
        <w:bidi w:val="0"/>
        <w:adjustRightInd/>
        <w:snapToGrid/>
        <w:spacing w:line="360" w:lineRule="auto"/>
        <w:ind w:left="0" w:right="0" w:firstLine="643"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b/>
          <w:bCs/>
          <w:color w:val="000000"/>
          <w:sz w:val="32"/>
          <w:szCs w:val="32"/>
          <w:lang w:val="en-US" w:eastAsia="zh-CN"/>
        </w:rPr>
        <w:t>1</w:t>
      </w:r>
      <w:r>
        <w:rPr>
          <w:rFonts w:hint="eastAsia" w:ascii="仿宋_GB2312" w:hAnsi="仿宋_GB2312" w:eastAsia="仿宋_GB2312" w:cs="仿宋_GB2312"/>
          <w:b/>
          <w:bCs/>
          <w:color w:val="000000"/>
          <w:sz w:val="32"/>
          <w:szCs w:val="32"/>
        </w:rPr>
        <w:t>.深化规划，分期实施</w:t>
      </w:r>
    </w:p>
    <w:p w14:paraId="27A1C3EA">
      <w:pPr>
        <w:pStyle w:val="6"/>
        <w:keepNext w:val="0"/>
        <w:keepLines w:val="0"/>
        <w:pageBreakBefore w:val="0"/>
        <w:widowControl w:val="0"/>
        <w:kinsoku/>
        <w:wordWrap/>
        <w:overflowPunct/>
        <w:topLinePunct w:val="0"/>
        <w:autoSpaceDE/>
        <w:autoSpaceDN/>
        <w:bidi w:val="0"/>
        <w:adjustRightInd/>
        <w:snapToGrid/>
        <w:ind w:left="0" w:right="0"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风景名胜区范围内的各项建设的具体实施必须以总体规划为依据，做好详细规划和施工设计，真正将总体规划深化和落实。有关具体项目与内容，在基本原则不变的情况下可以因情势变化作相应调整。总体规划批复后应制定管理实施细则，落实人员和责任。</w:t>
      </w:r>
    </w:p>
    <w:p w14:paraId="24D3D3F1">
      <w:pPr>
        <w:keepNext w:val="0"/>
        <w:keepLines w:val="0"/>
        <w:pageBreakBefore w:val="0"/>
        <w:widowControl w:val="0"/>
        <w:kinsoku/>
        <w:wordWrap/>
        <w:overflowPunct/>
        <w:topLinePunct w:val="0"/>
        <w:autoSpaceDE/>
        <w:autoSpaceDN/>
        <w:bidi w:val="0"/>
        <w:adjustRightInd/>
        <w:snapToGrid/>
        <w:spacing w:line="360" w:lineRule="auto"/>
        <w:ind w:left="0" w:right="0" w:firstLine="643"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b/>
          <w:bCs/>
          <w:color w:val="000000"/>
          <w:sz w:val="32"/>
          <w:szCs w:val="32"/>
          <w:lang w:val="en-US" w:eastAsia="zh-CN"/>
        </w:rPr>
        <w:t>2</w:t>
      </w:r>
      <w:r>
        <w:rPr>
          <w:rFonts w:hint="eastAsia" w:ascii="仿宋_GB2312" w:hAnsi="仿宋_GB2312" w:eastAsia="仿宋_GB2312" w:cs="仿宋_GB2312"/>
          <w:b/>
          <w:bCs/>
          <w:color w:val="000000"/>
          <w:sz w:val="32"/>
          <w:szCs w:val="32"/>
        </w:rPr>
        <w:t>.加强宣传工作</w:t>
      </w:r>
    </w:p>
    <w:p w14:paraId="229207C2">
      <w:pPr>
        <w:pStyle w:val="6"/>
        <w:keepNext w:val="0"/>
        <w:keepLines w:val="0"/>
        <w:pageBreakBefore w:val="0"/>
        <w:widowControl w:val="0"/>
        <w:kinsoku/>
        <w:wordWrap/>
        <w:overflowPunct/>
        <w:topLinePunct w:val="0"/>
        <w:autoSpaceDE/>
        <w:autoSpaceDN/>
        <w:bidi w:val="0"/>
        <w:adjustRightInd/>
        <w:snapToGrid/>
        <w:ind w:left="0" w:right="0" w:firstLine="640" w:firstLineChars="200"/>
        <w:textAlignment w:val="auto"/>
        <w:rPr>
          <w:rFonts w:hint="eastAsia" w:ascii="黑体" w:hAnsi="黑体" w:eastAsia="黑体" w:cs="黑体"/>
          <w:sz w:val="32"/>
          <w:szCs w:val="32"/>
        </w:rPr>
      </w:pPr>
      <w:r>
        <w:rPr>
          <w:rFonts w:hint="eastAsia" w:ascii="仿宋_GB2312" w:hAnsi="仿宋_GB2312" w:eastAsia="仿宋_GB2312" w:cs="仿宋_GB2312"/>
          <w:sz w:val="32"/>
          <w:szCs w:val="32"/>
        </w:rPr>
        <w:t>加强对风景名胜区内及周边居民的宣传工作，宣传风景名胜区的环境、社会和经济价值，宣传总体规划的主要内容，</w:t>
      </w:r>
      <w:bookmarkStart w:id="20" w:name="_Hlk59808170"/>
      <w:r>
        <w:rPr>
          <w:rFonts w:hint="eastAsia" w:ascii="仿宋_GB2312" w:hAnsi="仿宋_GB2312" w:eastAsia="仿宋_GB2312" w:cs="仿宋_GB2312"/>
          <w:sz w:val="32"/>
          <w:szCs w:val="32"/>
        </w:rPr>
        <w:t>使群众能自觉地保护风景名胜区的资源和关心风景名胜区的建设，</w:t>
      </w:r>
      <w:bookmarkEnd w:id="20"/>
      <w:r>
        <w:rPr>
          <w:rFonts w:hint="eastAsia" w:ascii="仿宋_GB2312" w:hAnsi="仿宋_GB2312" w:eastAsia="仿宋_GB2312" w:cs="仿宋_GB2312"/>
          <w:sz w:val="32"/>
          <w:szCs w:val="32"/>
        </w:rPr>
        <w:t>主动协助风景名胜区的建设和发展。</w:t>
      </w:r>
    </w:p>
    <w:p w14:paraId="5EB4A3A9">
      <w:pPr>
        <w:pStyle w:val="3"/>
        <w:keepNext w:val="0"/>
        <w:keepLines w:val="0"/>
        <w:pageBreakBefore w:val="0"/>
        <w:widowControl w:val="0"/>
        <w:numPr>
          <w:ilvl w:val="0"/>
          <w:numId w:val="0"/>
        </w:numPr>
        <w:kinsoku/>
        <w:wordWrap/>
        <w:overflowPunct/>
        <w:topLinePunct w:val="0"/>
        <w:autoSpaceDE/>
        <w:autoSpaceDN/>
        <w:bidi w:val="0"/>
        <w:adjustRightInd/>
        <w:snapToGrid/>
        <w:spacing w:before="0" w:after="0"/>
        <w:ind w:left="0" w:leftChars="0" w:right="0" w:firstLine="640" w:firstLineChars="200"/>
        <w:jc w:val="left"/>
        <w:textAlignment w:val="auto"/>
        <w:outlineLvl w:val="1"/>
        <w:rPr>
          <w:rFonts w:hint="eastAsia" w:ascii="黑体" w:hAnsi="黑体" w:eastAsia="黑体" w:cs="黑体"/>
          <w:color w:val="000000"/>
          <w:sz w:val="32"/>
          <w:szCs w:val="32"/>
        </w:rPr>
      </w:pPr>
      <w:r>
        <w:rPr>
          <w:rFonts w:hint="eastAsia" w:ascii="黑体" w:hAnsi="黑体" w:eastAsia="黑体" w:cs="黑体"/>
          <w:b w:val="0"/>
          <w:bCs w:val="0"/>
          <w:color w:val="000000"/>
          <w:kern w:val="2"/>
          <w:sz w:val="32"/>
          <w:szCs w:val="32"/>
          <w:lang w:val="en-US" w:eastAsia="zh-CN" w:bidi="ar-SA"/>
        </w:rPr>
        <w:t>十、</w:t>
      </w:r>
      <w:r>
        <w:rPr>
          <w:rFonts w:hint="eastAsia" w:ascii="黑体" w:hAnsi="黑体" w:eastAsia="黑体" w:cs="黑体"/>
          <w:b w:val="0"/>
          <w:bCs w:val="0"/>
          <w:color w:val="000000"/>
          <w:sz w:val="32"/>
          <w:szCs w:val="32"/>
        </w:rPr>
        <w:t>规划咨询渠道</w:t>
      </w:r>
    </w:p>
    <w:p w14:paraId="63C6DE52">
      <w:pPr>
        <w:pStyle w:val="6"/>
        <w:keepNext w:val="0"/>
        <w:keepLines w:val="0"/>
        <w:pageBreakBefore w:val="0"/>
        <w:widowControl w:val="0"/>
        <w:kinsoku/>
        <w:wordWrap/>
        <w:overflowPunct/>
        <w:topLinePunct w:val="0"/>
        <w:autoSpaceDE/>
        <w:autoSpaceDN/>
        <w:bidi w:val="0"/>
        <w:adjustRightInd/>
        <w:snapToGrid/>
        <w:ind w:left="0" w:right="0" w:firstLine="640" w:firstLineChars="200"/>
        <w:textAlignment w:val="auto"/>
        <w:rPr>
          <w:rFonts w:hint="eastAsia" w:ascii="仿宋_GB2312" w:hAnsi="仿宋_GB2312" w:eastAsia="仿宋_GB2312" w:cs="仿宋_GB2312"/>
          <w:color w:val="000000"/>
          <w:sz w:val="32"/>
          <w:szCs w:val="32"/>
          <w:lang w:val="en-US" w:eastAsia="zh-CN"/>
        </w:rPr>
      </w:pPr>
      <w:r>
        <w:rPr>
          <w:rFonts w:hint="eastAsia" w:ascii="仿宋_GB2312" w:hAnsi="仿宋_GB2312" w:eastAsia="仿宋_GB2312" w:cs="仿宋_GB2312"/>
          <w:color w:val="000000"/>
          <w:sz w:val="32"/>
          <w:szCs w:val="32"/>
        </w:rPr>
        <w:t>咨询机关:</w:t>
      </w:r>
      <w:r>
        <w:rPr>
          <w:rFonts w:hint="eastAsia" w:ascii="仿宋_GB2312" w:hAnsi="仿宋_GB2312" w:eastAsia="仿宋_GB2312" w:cs="仿宋_GB2312"/>
          <w:color w:val="000000"/>
          <w:sz w:val="32"/>
          <w:szCs w:val="32"/>
          <w:lang w:val="en-US" w:eastAsia="zh-CN"/>
        </w:rPr>
        <w:t>涂山风景区管理委员会</w:t>
      </w:r>
    </w:p>
    <w:p w14:paraId="3D921C34">
      <w:pPr>
        <w:pStyle w:val="6"/>
        <w:keepNext w:val="0"/>
        <w:keepLines w:val="0"/>
        <w:pageBreakBefore w:val="0"/>
        <w:widowControl w:val="0"/>
        <w:kinsoku/>
        <w:wordWrap/>
        <w:overflowPunct/>
        <w:topLinePunct w:val="0"/>
        <w:autoSpaceDE/>
        <w:autoSpaceDN/>
        <w:bidi w:val="0"/>
        <w:adjustRightInd/>
        <w:snapToGrid/>
        <w:ind w:left="0" w:right="0" w:firstLine="640" w:firstLineChars="200"/>
        <w:textAlignment w:val="auto"/>
        <w:rPr>
          <w:rFonts w:hint="default" w:ascii="仿宋_GB2312" w:hAnsi="仿宋_GB2312" w:eastAsia="仿宋_GB2312" w:cs="仿宋_GB2312"/>
          <w:color w:val="000000"/>
          <w:sz w:val="32"/>
          <w:szCs w:val="32"/>
          <w:lang w:val="en-US" w:eastAsia="zh-CN"/>
        </w:rPr>
      </w:pPr>
      <w:r>
        <w:rPr>
          <w:rFonts w:hint="eastAsia" w:ascii="仿宋_GB2312" w:hAnsi="仿宋_GB2312" w:eastAsia="仿宋_GB2312" w:cs="仿宋_GB2312"/>
          <w:color w:val="000000"/>
          <w:sz w:val="32"/>
          <w:szCs w:val="32"/>
        </w:rPr>
        <w:t>联系人</w:t>
      </w:r>
      <w:r>
        <w:rPr>
          <w:rFonts w:hint="eastAsia" w:ascii="仿宋_GB2312" w:hAnsi="仿宋_GB2312" w:eastAsia="仿宋_GB2312" w:cs="仿宋_GB2312"/>
          <w:color w:val="000000"/>
          <w:sz w:val="32"/>
          <w:szCs w:val="32"/>
          <w:lang w:val="en-US" w:eastAsia="zh-CN"/>
        </w:rPr>
        <w:t>:陈啸</w:t>
      </w:r>
    </w:p>
    <w:p w14:paraId="780F3735">
      <w:pPr>
        <w:pStyle w:val="6"/>
        <w:keepNext w:val="0"/>
        <w:keepLines w:val="0"/>
        <w:pageBreakBefore w:val="0"/>
        <w:widowControl w:val="0"/>
        <w:kinsoku/>
        <w:wordWrap/>
        <w:overflowPunct/>
        <w:topLinePunct w:val="0"/>
        <w:autoSpaceDE/>
        <w:autoSpaceDN/>
        <w:bidi w:val="0"/>
        <w:adjustRightInd/>
        <w:snapToGrid/>
        <w:ind w:left="0" w:right="0" w:firstLine="640" w:firstLineChars="200"/>
        <w:textAlignment w:val="auto"/>
        <w:rPr>
          <w:rFonts w:hint="eastAsia" w:ascii="仿宋_GB2312" w:hAnsi="仿宋_GB2312" w:eastAsia="仿宋_GB2312" w:cs="仿宋_GB2312"/>
          <w:color w:val="000000"/>
          <w:sz w:val="32"/>
          <w:szCs w:val="32"/>
          <w:lang w:val="en-US" w:eastAsia="zh-CN"/>
        </w:rPr>
      </w:pPr>
      <w:r>
        <w:rPr>
          <w:rFonts w:hint="eastAsia" w:ascii="仿宋_GB2312" w:hAnsi="仿宋_GB2312" w:eastAsia="仿宋_GB2312" w:cs="仿宋_GB2312"/>
          <w:color w:val="000000"/>
          <w:sz w:val="32"/>
          <w:szCs w:val="32"/>
        </w:rPr>
        <w:t>联系方式:0552-</w:t>
      </w:r>
      <w:r>
        <w:rPr>
          <w:rFonts w:hint="eastAsia" w:ascii="仿宋_GB2312" w:hAnsi="仿宋_GB2312" w:eastAsia="仿宋_GB2312" w:cs="仿宋_GB2312"/>
          <w:color w:val="000000"/>
          <w:sz w:val="32"/>
          <w:szCs w:val="32"/>
          <w:lang w:val="en-US" w:eastAsia="zh-CN"/>
        </w:rPr>
        <w:t>3286015</w:t>
      </w:r>
    </w:p>
    <w:p w14:paraId="6646A542">
      <w:pPr>
        <w:keepNext w:val="0"/>
        <w:keepLines w:val="0"/>
        <w:pageBreakBefore w:val="0"/>
        <w:widowControl w:val="0"/>
        <w:kinsoku/>
        <w:wordWrap/>
        <w:overflowPunct/>
        <w:topLinePunct w:val="0"/>
        <w:autoSpaceDE/>
        <w:autoSpaceDN/>
        <w:bidi w:val="0"/>
        <w:adjustRightInd/>
        <w:snapToGrid/>
        <w:spacing w:line="560" w:lineRule="exact"/>
        <w:ind w:left="0" w:right="0" w:firstLine="640" w:firstLineChars="200"/>
        <w:jc w:val="both"/>
        <w:textAlignment w:val="auto"/>
        <w:rPr>
          <w:rFonts w:hint="default" w:ascii="仿宋_GB2312" w:hAnsi="仿宋_GB2312" w:eastAsia="仿宋_GB2312" w:cs="仿宋_GB2312"/>
          <w:sz w:val="32"/>
          <w:szCs w:val="32"/>
          <w:lang w:val="en-US" w:eastAsia="zh-CN"/>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88"/>
    <w:family w:val="roman"/>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等线 Light">
    <w:panose1 w:val="02010600030101010101"/>
    <w:charset w:val="86"/>
    <w:family w:val="auto"/>
    <w:pitch w:val="default"/>
    <w:sig w:usb0="A00002BF" w:usb1="38CF7CFA" w:usb2="00000016" w:usb3="00000000" w:csb0="0004000F" w:csb1="00000000"/>
  </w:font>
  <w:font w:name="方正小标宋简体">
    <w:panose1 w:val="03000509000000000000"/>
    <w:charset w:val="86"/>
    <w:family w:val="auto"/>
    <w:pitch w:val="default"/>
    <w:sig w:usb0="00000001" w:usb1="080E0000" w:usb2="00000000" w:usb3="00000000" w:csb0="00040000" w:csb1="00000000"/>
  </w:font>
  <w:font w:name="仿宋_GB2312">
    <w:panose1 w:val="02010609030101010101"/>
    <w:charset w:val="86"/>
    <w:family w:val="auto"/>
    <w:pitch w:val="default"/>
    <w:sig w:usb0="00000001" w:usb1="080E0000" w:usb2="00000000" w:usb3="00000000" w:csb0="0004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DE3M2FjYzZiNzhlZjBkZjZiMDE5ZDIwZmQ4ZTNlOGMifQ=="/>
  </w:docVars>
  <w:rsids>
    <w:rsidRoot w:val="00000000"/>
    <w:rsid w:val="00FF6469"/>
    <w:rsid w:val="00FF6C58"/>
    <w:rsid w:val="01CA216C"/>
    <w:rsid w:val="01DD1E9F"/>
    <w:rsid w:val="02000185"/>
    <w:rsid w:val="03253AFD"/>
    <w:rsid w:val="03DA48E8"/>
    <w:rsid w:val="04610B65"/>
    <w:rsid w:val="05393890"/>
    <w:rsid w:val="07B611C8"/>
    <w:rsid w:val="07DC33D3"/>
    <w:rsid w:val="08D062B9"/>
    <w:rsid w:val="0F704352"/>
    <w:rsid w:val="14072DAB"/>
    <w:rsid w:val="153876C0"/>
    <w:rsid w:val="17667669"/>
    <w:rsid w:val="182E4DAB"/>
    <w:rsid w:val="18CB084B"/>
    <w:rsid w:val="1C4B227B"/>
    <w:rsid w:val="1E2A6014"/>
    <w:rsid w:val="1E42335E"/>
    <w:rsid w:val="208F6602"/>
    <w:rsid w:val="216F4F0D"/>
    <w:rsid w:val="22477195"/>
    <w:rsid w:val="2366539E"/>
    <w:rsid w:val="240115C5"/>
    <w:rsid w:val="27BE7908"/>
    <w:rsid w:val="2845095B"/>
    <w:rsid w:val="288051AE"/>
    <w:rsid w:val="295403E9"/>
    <w:rsid w:val="2BD55811"/>
    <w:rsid w:val="2E51247A"/>
    <w:rsid w:val="2F745341"/>
    <w:rsid w:val="35C0308E"/>
    <w:rsid w:val="385201EA"/>
    <w:rsid w:val="43F32881"/>
    <w:rsid w:val="48573287"/>
    <w:rsid w:val="49F64E79"/>
    <w:rsid w:val="4D44414D"/>
    <w:rsid w:val="501C315F"/>
    <w:rsid w:val="50B415EA"/>
    <w:rsid w:val="53130849"/>
    <w:rsid w:val="57FF75EE"/>
    <w:rsid w:val="590B51C8"/>
    <w:rsid w:val="5C1D44E7"/>
    <w:rsid w:val="5CCD7CBB"/>
    <w:rsid w:val="5DA84284"/>
    <w:rsid w:val="5FB213EA"/>
    <w:rsid w:val="613D1187"/>
    <w:rsid w:val="62C12233"/>
    <w:rsid w:val="62C751AC"/>
    <w:rsid w:val="62D33B51"/>
    <w:rsid w:val="66A03D4A"/>
    <w:rsid w:val="68C1269E"/>
    <w:rsid w:val="6C0866A6"/>
    <w:rsid w:val="6C4E249B"/>
    <w:rsid w:val="6EC86534"/>
    <w:rsid w:val="6F327E52"/>
    <w:rsid w:val="72F83160"/>
    <w:rsid w:val="734168B5"/>
    <w:rsid w:val="76AD606D"/>
    <w:rsid w:val="7A9D6AC7"/>
    <w:rsid w:val="7BAB5214"/>
    <w:rsid w:val="7BC958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qFormat="1" w:unhideWhenUsed="0"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1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5">
    <w:name w:val="Default Paragraph Font"/>
    <w:semiHidden/>
    <w:qFormat/>
    <w:uiPriority w:val="0"/>
  </w:style>
  <w:style w:type="table" w:default="1" w:styleId="4">
    <w:name w:val="Normal Table"/>
    <w:semiHidden/>
    <w:qFormat/>
    <w:uiPriority w:val="0"/>
    <w:tblPr>
      <w:tblCellMar>
        <w:top w:w="0" w:type="dxa"/>
        <w:left w:w="108" w:type="dxa"/>
        <w:bottom w:w="0" w:type="dxa"/>
        <w:right w:w="108" w:type="dxa"/>
      </w:tblCellMar>
    </w:tblPr>
  </w:style>
  <w:style w:type="paragraph" w:styleId="2">
    <w:name w:val="footer"/>
    <w:basedOn w:val="1"/>
    <w:qFormat/>
    <w:uiPriority w:val="99"/>
    <w:pPr>
      <w:tabs>
        <w:tab w:val="center" w:pos="4153"/>
        <w:tab w:val="right" w:pos="8306"/>
      </w:tabs>
      <w:snapToGrid w:val="0"/>
      <w:jc w:val="left"/>
    </w:pPr>
    <w:rPr>
      <w:sz w:val="18"/>
      <w:szCs w:val="18"/>
    </w:rPr>
  </w:style>
  <w:style w:type="paragraph" w:styleId="3">
    <w:name w:val="Title"/>
    <w:basedOn w:val="1"/>
    <w:next w:val="1"/>
    <w:qFormat/>
    <w:uiPriority w:val="10"/>
    <w:pPr>
      <w:spacing w:before="240" w:after="60"/>
      <w:jc w:val="center"/>
      <w:outlineLvl w:val="0"/>
    </w:pPr>
    <w:rPr>
      <w:rFonts w:ascii="等线 Light" w:hAnsi="等线 Light" w:cs="Times New Roman"/>
      <w:b/>
      <w:bCs/>
      <w:sz w:val="32"/>
      <w:szCs w:val="32"/>
    </w:rPr>
  </w:style>
  <w:style w:type="paragraph" w:customStyle="1" w:styleId="6">
    <w:name w:val="样式 宋体 12 磅 行距: 1.5 倍行距 首行缩进:  2 字符"/>
    <w:basedOn w:val="1"/>
    <w:qFormat/>
    <w:uiPriority w:val="0"/>
    <w:pPr>
      <w:spacing w:line="360" w:lineRule="auto"/>
      <w:ind w:firstLine="480" w:firstLineChars="200"/>
    </w:pPr>
    <w:rPr>
      <w:rFonts w:ascii="宋体" w:hAnsi="宋体" w:cs="宋体"/>
      <w:sz w:val="24"/>
      <w:szCs w:val="20"/>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6</Pages>
  <Words>2628</Words>
  <Characters>2810</Characters>
  <Lines>0</Lines>
  <Paragraphs>0</Paragraphs>
  <TotalTime>7</TotalTime>
  <ScaleCrop>false</ScaleCrop>
  <LinksUpToDate>false</LinksUpToDate>
  <CharactersWithSpaces>2821</CharactersWithSpaces>
  <Application>WPS Office_12.1.0.21915_F1E327BC-269C-435d-A152-05C5408002CA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2023-11-23T00:44:00Z</dcterms:created>
  <dc:creator>Administrator</dc:creator>
  <cp:lastModifiedBy>Spotlight.</cp:lastModifiedBy>
  <cp:lastPrinted>2023-11-26T02:42:00Z</cp:lastPrinted>
  <dcterms:modified xsi:type="dcterms:W3CDTF">2025-07-25T08:58:23Z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2052-12.1.0.21915</vt:lpwstr>
  </property>
  <property fmtid="{D5CDD505-2E9C-101B-9397-08002B2CF9AE}" pid="3" name="ICV">
    <vt:lpwstr>48FF8B1834944754A1617B5C28F05A90_12</vt:lpwstr>
  </property>
  <property fmtid="{D5CDD505-2E9C-101B-9397-08002B2CF9AE}" pid="4" name="KSOTemplateDocerSaveRecord">
    <vt:lpwstr>eyJoZGlkIjoiMzUzYzcyODE0MWFlZTEyNjYyMGMxM2E3MzVjMjZlMTMiLCJ1c2VySWQiOiIyNjcxODI0NjMifQ==</vt:lpwstr>
  </property>
</Properties>
</file>