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CFBF26">
      <w:pPr>
        <w:pageBreakBefore w:val="0"/>
        <w:widowControl w:val="0"/>
        <w:kinsoku/>
        <w:wordWrap/>
        <w:overflowPunct/>
        <w:topLinePunct w:val="0"/>
        <w:autoSpaceDE/>
        <w:autoSpaceDN/>
        <w:bidi w:val="0"/>
        <w:adjustRightInd w:val="0"/>
        <w:snapToGrid w:val="0"/>
        <w:spacing w:line="590" w:lineRule="exact"/>
        <w:ind w:left="0" w:leftChars="0" w:right="0" w:rightChars="0" w:firstLine="0" w:firstLineChars="0"/>
        <w:jc w:val="both"/>
        <w:textAlignment w:val="auto"/>
        <w:rPr>
          <w:rFonts w:hint="eastAsia"/>
        </w:rPr>
      </w:pPr>
    </w:p>
    <w:p w14:paraId="39AC00B9">
      <w:pPr>
        <w:pageBreakBefore w:val="0"/>
        <w:widowControl w:val="0"/>
        <w:kinsoku/>
        <w:wordWrap/>
        <w:overflowPunct/>
        <w:topLinePunct w:val="0"/>
        <w:autoSpaceDE/>
        <w:autoSpaceDN/>
        <w:bidi w:val="0"/>
        <w:adjustRightInd w:val="0"/>
        <w:snapToGrid w:val="0"/>
        <w:spacing w:line="590" w:lineRule="exact"/>
        <w:ind w:left="0" w:leftChars="0" w:right="0" w:rightChars="0" w:firstLine="0" w:firstLineChars="0"/>
        <w:jc w:val="both"/>
        <w:textAlignment w:val="auto"/>
        <w:rPr>
          <w:rFonts w:hint="eastAsia"/>
        </w:rPr>
      </w:pPr>
    </w:p>
    <w:p w14:paraId="7009D3CC">
      <w:pPr>
        <w:pStyle w:val="2"/>
        <w:pageBreakBefore w:val="0"/>
        <w:kinsoku/>
        <w:wordWrap/>
        <w:overflowPunct/>
        <w:topLinePunct w:val="0"/>
        <w:autoSpaceDE/>
        <w:autoSpaceDN/>
        <w:bidi w:val="0"/>
        <w:adjustRightInd w:val="0"/>
        <w:snapToGrid w:val="0"/>
        <w:spacing w:beforeLines="0" w:beforeAutospacing="0" w:afterLines="0" w:afterAutospacing="0" w:line="590" w:lineRule="exact"/>
        <w:ind w:left="0" w:leftChars="0" w:right="0" w:rightChars="0" w:firstLine="0" w:firstLineChars="0"/>
        <w:jc w:val="center"/>
        <w:textAlignment w:val="auto"/>
        <w:rPr>
          <w:rFonts w:hint="eastAsia" w:ascii="Times New Roman" w:hAnsi="Times New Roman"/>
          <w:lang w:eastAsia="zh-CN"/>
        </w:rPr>
      </w:pPr>
      <w:r>
        <w:rPr>
          <w:rFonts w:hint="eastAsia" w:ascii="Times New Roman" w:hAnsi="Times New Roman"/>
          <w:lang w:eastAsia="zh-CN"/>
        </w:rPr>
        <w:t>关于印发进一步完善基层医药卫生体制</w:t>
      </w:r>
    </w:p>
    <w:p w14:paraId="4D24D849">
      <w:pPr>
        <w:pStyle w:val="2"/>
        <w:pageBreakBefore w:val="0"/>
        <w:kinsoku/>
        <w:wordWrap/>
        <w:overflowPunct/>
        <w:topLinePunct w:val="0"/>
        <w:autoSpaceDE/>
        <w:autoSpaceDN/>
        <w:bidi w:val="0"/>
        <w:adjustRightInd w:val="0"/>
        <w:snapToGrid w:val="0"/>
        <w:spacing w:beforeLines="0" w:beforeAutospacing="0" w:afterLines="0" w:afterAutospacing="0" w:line="590" w:lineRule="exact"/>
        <w:ind w:left="0" w:leftChars="0" w:right="0" w:rightChars="0" w:firstLine="0" w:firstLineChars="0"/>
        <w:jc w:val="center"/>
        <w:textAlignment w:val="auto"/>
        <w:rPr>
          <w:rFonts w:hint="eastAsia" w:ascii="Times New Roman" w:hAnsi="Times New Roman"/>
          <w:lang w:eastAsia="zh-CN"/>
        </w:rPr>
      </w:pPr>
      <w:r>
        <w:rPr>
          <w:rFonts w:hint="eastAsia" w:ascii="Times New Roman" w:hAnsi="Times New Roman"/>
          <w:lang w:eastAsia="zh-CN"/>
        </w:rPr>
        <w:t>综合改革实施方案的通知</w:t>
      </w:r>
    </w:p>
    <w:p w14:paraId="2D886699">
      <w:pPr>
        <w:pageBreakBefore w:val="0"/>
        <w:kinsoku/>
        <w:wordWrap/>
        <w:overflowPunct/>
        <w:topLinePunct w:val="0"/>
        <w:autoSpaceDE/>
        <w:autoSpaceDN/>
        <w:bidi w:val="0"/>
        <w:adjustRightInd w:val="0"/>
        <w:snapToGrid w:val="0"/>
        <w:spacing w:beforeAutospacing="0" w:afterAutospacing="0" w:line="590" w:lineRule="exact"/>
        <w:ind w:left="0" w:right="0" w:rightChars="0" w:firstLine="0" w:firstLineChars="0"/>
        <w:jc w:val="center"/>
        <w:textAlignment w:val="auto"/>
        <w:rPr>
          <w:rFonts w:hint="eastAsia"/>
        </w:rPr>
      </w:pPr>
      <w:r>
        <w:rPr>
          <w:rFonts w:hint="eastAsia" w:ascii="Times New Roman" w:hAnsi="Times New Roman"/>
        </w:rPr>
        <w:t>禹政〔2015〕25号</w:t>
      </w:r>
    </w:p>
    <w:p w14:paraId="7B006426">
      <w:pPr>
        <w:pageBreakBefore w:val="0"/>
        <w:widowControl w:val="0"/>
        <w:kinsoku/>
        <w:wordWrap/>
        <w:overflowPunct/>
        <w:topLinePunct w:val="0"/>
        <w:autoSpaceDE/>
        <w:autoSpaceDN/>
        <w:bidi w:val="0"/>
        <w:adjustRightInd w:val="0"/>
        <w:snapToGrid w:val="0"/>
        <w:spacing w:line="590" w:lineRule="exact"/>
        <w:ind w:right="0" w:rightChars="0"/>
        <w:textAlignment w:val="auto"/>
        <w:rPr>
          <w:rFonts w:hint="eastAsia" w:ascii="仿宋_GB2312" w:hAnsi="仿宋"/>
          <w:spacing w:val="9160"/>
          <w:w w:val="100"/>
          <w:kern w:val="0"/>
          <w:fitText w:val="9480" w:id="935549115"/>
        </w:rPr>
      </w:pPr>
    </w:p>
    <w:p w14:paraId="221BD9EB">
      <w:pPr>
        <w:pageBreakBefore w:val="0"/>
        <w:widowControl w:val="0"/>
        <w:kinsoku/>
        <w:wordWrap/>
        <w:overflowPunct/>
        <w:topLinePunct w:val="0"/>
        <w:autoSpaceDE/>
        <w:autoSpaceDN/>
        <w:bidi w:val="0"/>
        <w:adjustRightInd w:val="0"/>
        <w:snapToGrid w:val="0"/>
        <w:spacing w:line="590" w:lineRule="exact"/>
        <w:ind w:left="0" w:leftChars="0" w:right="0" w:rightChars="0" w:firstLine="0" w:firstLineChars="0"/>
        <w:textAlignment w:val="auto"/>
        <w:rPr>
          <w:rFonts w:hint="eastAsia"/>
        </w:rPr>
      </w:pPr>
      <w:r>
        <w:rPr>
          <w:rFonts w:hint="eastAsia"/>
        </w:rPr>
        <w:t>各乡镇人民政府、涂山风景区管委会、社区居委会，区直各有关部门、各区属单位：</w:t>
      </w:r>
    </w:p>
    <w:p w14:paraId="108ED9CD">
      <w:pPr>
        <w:pageBreakBefore w:val="0"/>
        <w:widowControl w:val="0"/>
        <w:kinsoku/>
        <w:wordWrap/>
        <w:overflowPunct/>
        <w:topLinePunct w:val="0"/>
        <w:autoSpaceDE/>
        <w:autoSpaceDN/>
        <w:bidi w:val="0"/>
        <w:adjustRightInd w:val="0"/>
        <w:snapToGrid w:val="0"/>
        <w:spacing w:line="590" w:lineRule="exact"/>
        <w:ind w:right="0" w:rightChars="0"/>
        <w:textAlignment w:val="auto"/>
        <w:rPr>
          <w:rFonts w:hint="eastAsia"/>
        </w:rPr>
      </w:pPr>
      <w:r>
        <w:rPr>
          <w:rFonts w:hint="eastAsia"/>
        </w:rPr>
        <w:t>现将《禹会区深化医药卫生体制综合改革实施方案》印发给你们，请结合实际，认真组织贯彻实施。</w:t>
      </w:r>
    </w:p>
    <w:p w14:paraId="725AC3B7">
      <w:pPr>
        <w:pageBreakBefore w:val="0"/>
        <w:widowControl w:val="0"/>
        <w:kinsoku/>
        <w:wordWrap/>
        <w:overflowPunct/>
        <w:topLinePunct w:val="0"/>
        <w:autoSpaceDE/>
        <w:autoSpaceDN/>
        <w:bidi w:val="0"/>
        <w:adjustRightInd w:val="0"/>
        <w:snapToGrid w:val="0"/>
        <w:spacing w:line="590" w:lineRule="exact"/>
        <w:ind w:right="0" w:rightChars="0"/>
        <w:textAlignment w:val="auto"/>
        <w:rPr>
          <w:rFonts w:hint="eastAsia"/>
        </w:rPr>
      </w:pPr>
    </w:p>
    <w:p w14:paraId="6A5B3C84">
      <w:pPr>
        <w:keepNext w:val="0"/>
        <w:keepLines w:val="0"/>
        <w:pageBreakBefore w:val="0"/>
        <w:widowControl w:val="0"/>
        <w:kinsoku/>
        <w:wordWrap w:val="0"/>
        <w:overflowPunct/>
        <w:topLinePunct w:val="0"/>
        <w:autoSpaceDE/>
        <w:autoSpaceDN/>
        <w:bidi w:val="0"/>
        <w:adjustRightInd w:val="0"/>
        <w:snapToGrid w:val="0"/>
        <w:ind w:right="640" w:rightChars="200" w:firstLine="0" w:firstLineChars="0"/>
        <w:jc w:val="right"/>
        <w:textAlignment w:val="auto"/>
        <w:rPr>
          <w:rFonts w:hint="default" w:eastAsia="方正仿宋_GBK"/>
          <w:lang w:val="en-US" w:eastAsia="zh-CN"/>
        </w:rPr>
      </w:pPr>
      <w:r>
        <w:rPr>
          <w:rFonts w:hint="eastAsia" w:eastAsia="方正仿宋_GBK"/>
          <w:lang w:val="en-US" w:eastAsia="zh-CN"/>
        </w:rPr>
        <w:t>蚌埠市禹会区人民政府</w:t>
      </w:r>
    </w:p>
    <w:p w14:paraId="13937CD8">
      <w:pPr>
        <w:keepNext w:val="0"/>
        <w:keepLines w:val="0"/>
        <w:pageBreakBefore w:val="0"/>
        <w:widowControl w:val="0"/>
        <w:kinsoku/>
        <w:wordWrap w:val="0"/>
        <w:overflowPunct/>
        <w:topLinePunct w:val="0"/>
        <w:autoSpaceDE/>
        <w:autoSpaceDN/>
        <w:bidi w:val="0"/>
        <w:adjustRightInd w:val="0"/>
        <w:snapToGrid w:val="0"/>
        <w:ind w:right="1120" w:rightChars="350" w:firstLine="0" w:firstLineChars="0"/>
        <w:jc w:val="right"/>
        <w:textAlignment w:val="auto"/>
        <w:rPr>
          <w:rFonts w:hint="eastAsia" w:eastAsia="方正仿宋_GBK"/>
          <w:lang w:eastAsia="zh-CN"/>
        </w:rPr>
      </w:pPr>
      <w:r>
        <w:rPr>
          <w:rFonts w:hint="eastAsia" w:eastAsia="方正仿宋_GBK"/>
          <w:lang w:eastAsia="zh-CN"/>
        </w:rPr>
        <w:t>2015年10月8日</w:t>
      </w:r>
    </w:p>
    <w:p w14:paraId="7B290E81">
      <w:pPr>
        <w:rPr>
          <w:rFonts w:hint="eastAsia" w:eastAsia="方正仿宋简体"/>
          <w:color w:val="000000"/>
          <w:szCs w:val="32"/>
        </w:rPr>
      </w:pPr>
      <w:r>
        <w:rPr>
          <w:rFonts w:hint="eastAsia" w:eastAsia="方正仿宋简体"/>
          <w:color w:val="000000"/>
          <w:szCs w:val="32"/>
        </w:rPr>
        <w:br w:type="page"/>
      </w:r>
    </w:p>
    <w:p w14:paraId="64A6F5CC">
      <w:pPr>
        <w:pageBreakBefore w:val="0"/>
        <w:widowControl w:val="0"/>
        <w:kinsoku/>
        <w:wordWrap/>
        <w:overflowPunct/>
        <w:topLinePunct w:val="0"/>
        <w:autoSpaceDE/>
        <w:autoSpaceDN/>
        <w:bidi w:val="0"/>
        <w:adjustRightInd w:val="0"/>
        <w:snapToGrid w:val="0"/>
        <w:spacing w:line="590" w:lineRule="exact"/>
        <w:ind w:left="0" w:leftChars="0" w:right="0" w:rightChars="0" w:firstLine="0" w:firstLineChars="0"/>
        <w:textAlignment w:val="auto"/>
        <w:rPr>
          <w:rFonts w:hint="eastAsia" w:eastAsia="方正仿宋简体"/>
          <w:color w:val="000000"/>
          <w:szCs w:val="32"/>
        </w:rPr>
      </w:pPr>
    </w:p>
    <w:p w14:paraId="255C5DE4">
      <w:pPr>
        <w:pStyle w:val="2"/>
        <w:pageBreakBefore w:val="0"/>
        <w:widowControl w:val="0"/>
        <w:kinsoku/>
        <w:wordWrap/>
        <w:overflowPunct/>
        <w:topLinePunct w:val="0"/>
        <w:autoSpaceDE/>
        <w:autoSpaceDN/>
        <w:bidi w:val="0"/>
        <w:adjustRightInd w:val="0"/>
        <w:snapToGrid w:val="0"/>
        <w:spacing w:beforeLines="0" w:afterLines="0" w:line="590" w:lineRule="exact"/>
        <w:ind w:left="0" w:leftChars="0" w:right="0" w:rightChars="0" w:firstLine="0" w:firstLineChars="0"/>
        <w:jc w:val="center"/>
        <w:textAlignment w:val="auto"/>
        <w:rPr>
          <w:rFonts w:hint="eastAsia"/>
        </w:rPr>
      </w:pPr>
      <w:r>
        <w:rPr>
          <w:rFonts w:hint="eastAsia"/>
        </w:rPr>
        <w:t>禹会区深化医药卫生体制</w:t>
      </w:r>
    </w:p>
    <w:p w14:paraId="7816C80F">
      <w:pPr>
        <w:pStyle w:val="2"/>
        <w:pageBreakBefore w:val="0"/>
        <w:widowControl w:val="0"/>
        <w:kinsoku/>
        <w:wordWrap/>
        <w:overflowPunct/>
        <w:topLinePunct w:val="0"/>
        <w:autoSpaceDE/>
        <w:autoSpaceDN/>
        <w:bidi w:val="0"/>
        <w:adjustRightInd w:val="0"/>
        <w:snapToGrid w:val="0"/>
        <w:spacing w:beforeLines="0" w:afterLines="0" w:line="590" w:lineRule="exact"/>
        <w:ind w:left="0" w:leftChars="0" w:right="0" w:rightChars="0" w:firstLine="0" w:firstLineChars="0"/>
        <w:jc w:val="center"/>
        <w:textAlignment w:val="auto"/>
        <w:rPr>
          <w:rFonts w:hint="eastAsia"/>
        </w:rPr>
      </w:pPr>
      <w:r>
        <w:rPr>
          <w:rFonts w:hint="eastAsia"/>
        </w:rPr>
        <w:t>综合改革实施方案</w:t>
      </w:r>
    </w:p>
    <w:p w14:paraId="35EB8793">
      <w:pPr>
        <w:pageBreakBefore w:val="0"/>
        <w:widowControl w:val="0"/>
        <w:kinsoku/>
        <w:wordWrap/>
        <w:overflowPunct/>
        <w:topLinePunct w:val="0"/>
        <w:autoSpaceDE/>
        <w:autoSpaceDN/>
        <w:bidi w:val="0"/>
        <w:adjustRightInd w:val="0"/>
        <w:snapToGrid w:val="0"/>
        <w:spacing w:line="590" w:lineRule="exact"/>
        <w:ind w:right="0" w:rightChars="0"/>
        <w:jc w:val="center"/>
        <w:textAlignment w:val="auto"/>
        <w:rPr>
          <w:rFonts w:hint="eastAsia" w:ascii="方正小标宋简体" w:eastAsia="方正小标宋简体"/>
          <w:color w:val="000000"/>
          <w:sz w:val="44"/>
          <w:szCs w:val="44"/>
        </w:rPr>
      </w:pPr>
    </w:p>
    <w:p w14:paraId="0B292F6C">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为进一步深化我区基层医药卫生体制综合改革工作，扩大医改成果，完善“维护公益性、调动积极性、保障可持续”这一长效机制，引导辖区群众合理就医，促进分级诊疗制度形成，保障人民群众健康水平不断提高。根据《国务院办公厅关于巩固完善基本药物制度和基层运行新机制的意见》（国办发〔2013〕14号）、《安徽省人民政府关于印发安徽省深化医药卫生体制综合改革试点方案的通知》（皖政〔2015〕16号）、《安徽省医改办安徽省编办安徽省卫生计生委安徽省人力资源社会保障厅安徽省物价局关于进一步深化基层医药卫生体制综合改革的意见》（皖医改办〔2015〕5号）等一系列医改文件精神，现就进一步完善我区基层医药卫生体制综合改革制定如下方案：</w:t>
      </w:r>
    </w:p>
    <w:p w14:paraId="42502B33">
      <w:pPr>
        <w:pStyle w:val="3"/>
        <w:pageBreakBefore w:val="0"/>
        <w:widowControl w:val="0"/>
        <w:kinsoku/>
        <w:wordWrap/>
        <w:overflowPunct/>
        <w:topLinePunct w:val="0"/>
        <w:autoSpaceDE/>
        <w:autoSpaceDN/>
        <w:bidi w:val="0"/>
        <w:adjustRightInd w:val="0"/>
        <w:snapToGrid w:val="0"/>
        <w:spacing w:beforeLines="0" w:afterLines="0" w:line="590" w:lineRule="exact"/>
        <w:ind w:right="0" w:rightChars="0"/>
        <w:textAlignment w:val="auto"/>
        <w:rPr>
          <w:rFonts w:hint="eastAsia"/>
        </w:rPr>
      </w:pPr>
      <w:r>
        <w:rPr>
          <w:rFonts w:hint="eastAsia"/>
        </w:rPr>
        <w:t>一、推进运行机制改革，强化服务职能，落实经营自主权</w:t>
      </w:r>
    </w:p>
    <w:p w14:paraId="451CAF09">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1.进一步强化乡镇卫生院(社区卫生服务中心)在基本公共卫生服务、基本医疗服务和乡村一体化管理等方面的职能职责，充分发挥其作为农村“三级医疗卫生服务网络”的枢纽作用。乡镇卫生院（社区卫生服务中心）具有独立法人地位和副职推荐权、中层干部聘任权、收入分配权、自主经营管理权。实行院长（主任）负责制，强化经营管理责任，重大决策须经医院领导班子集体研究。（牵头单位：区卫计委）</w:t>
      </w:r>
    </w:p>
    <w:p w14:paraId="48AB45FD">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2.完善基层医疗卫生机构补助政策。基层医疗卫生机构基本建设和设备购置更新、周转房建设资金以及突发公共卫生事件处置经费等，由政府负责投入。自2015年4月1日起，政府办基层医疗卫生机构不再实行“收支两条线”管理，全面推行财政经费定项补助。财政局应制定相应的财务管理规章制度，规范日常运行管理，卫生院单独设立基本账户，由主管会计和现金会计进行日常管理。根据财社〔2015〕933号文件中规定：乡镇卫生院实行“统一领导、集中管理”的财务管理体制，财务活动在院长领导下由财务部门集中管理。院长对本单位财务会计工作及会计资料的真实性、合法性负责。具备条件的乡镇卫生院，实行财务自主管理。乡镇卫生院及钓鱼台社区服务中心均有相关会计人员，均具备财务自主管理。乡镇卫生院及钓鱼台社区服务中心不再纳入我区会计中心核算，区财政将按皖医改办〔2015〕5号文件规定拨付定项补助经费包括编内在职人员基本工资及绩效工资、离退休人员经费、社会保障经费、住房公积金等。乡镇卫生院（社区卫生服务中心）收入来源包括：一是区财政部门按编制内实有人数全额核拨的人员经费（含“五险一金”）。二是医疗收入扣除成本并按规定提取各项基金后，按业务收支结余50%提取奖励基金，主要用于人员奖励。剩余的业务收支结余，应全部转入事业发展基金，用于房屋维修改造、设备更新维护、信息化建设等事业发展。人员奖励由区卫计委、财政、人社部门审批后，报区纪委备案后发放。三是政府购买服务的基本公共卫生专项经费，实行项目管理，经考核后拨付做为基层医疗的医疗服务收入由其按规定使用和分配，严禁将区财政公共卫生服务经费冲抵人员工资。区财政按规定及时拨付上级财政各项专项补助经费。区财政、卫生计生、审计部门负责基层医疗机构收支监管。（牵头单位：区财政局）</w:t>
      </w:r>
    </w:p>
    <w:p w14:paraId="72D6DEB4">
      <w:pPr>
        <w:pStyle w:val="3"/>
        <w:pageBreakBefore w:val="0"/>
        <w:widowControl w:val="0"/>
        <w:kinsoku/>
        <w:wordWrap/>
        <w:overflowPunct/>
        <w:topLinePunct w:val="0"/>
        <w:autoSpaceDE/>
        <w:autoSpaceDN/>
        <w:bidi w:val="0"/>
        <w:adjustRightInd w:val="0"/>
        <w:snapToGrid w:val="0"/>
        <w:spacing w:beforeLines="0" w:afterLines="0" w:line="590" w:lineRule="exact"/>
        <w:ind w:right="0" w:rightChars="0"/>
        <w:textAlignment w:val="auto"/>
        <w:rPr>
          <w:rFonts w:hint="eastAsia"/>
        </w:rPr>
      </w:pPr>
      <w:r>
        <w:rPr>
          <w:rFonts w:hint="eastAsia"/>
        </w:rPr>
        <w:t>二、推进用人机制改革，建立聘任机制，落实用人自主权</w:t>
      </w:r>
    </w:p>
    <w:p w14:paraId="468F2F21">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3.进一步建立健全基层医疗卫生单位人才招聘和引进机制，加快基层医疗卫生机构专业技术人才梯队建设，配强配齐乡镇卫生院（社区卫生服务中心）卫生专业技术人员。（牵头单位：区卫计委）</w:t>
      </w:r>
    </w:p>
    <w:p w14:paraId="6E89CCEC">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4.乡镇卫生院（社区卫生服务中心）新聘用工作人员，一律面向社会公开招聘，择优录用。对有执业医师资格的村医，且医德医术在当地具有较好影响的，按一定程序考核后，可实行“村医乡用”。严禁用人单位擅自聘用人员，一经发现，严肃处理。（牵头单位：区卫计委）</w:t>
      </w:r>
    </w:p>
    <w:p w14:paraId="3FFDE454">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5.根据乡镇卫生院（社区卫生服务中心）编制空缺情况和工作需要，按照相关规定，适时组织人员招聘工作。根据乡镇卫生院（社区卫生服务中心）医疗业务工作量变化情况，对全区乡镇卫生院（社区卫生服务中心）编制实行动态管理、总量控制，及时调整各乡镇卫生院（社区卫生服务中心）编制规模，保障乡镇卫生院（社区卫生服务中心）正常工作运转。（牵头单位：人社局、卫计委）</w:t>
      </w:r>
    </w:p>
    <w:p w14:paraId="0C4A452C">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6.改革养老保险制度。按照《国务院关于机关事业单位工作人员养老保险制度的决定》（国发〔2015〕2号）推进我区基层医疗卫生机构养老保险制度改革。对改革前已退休人员，保持现有待遇并参加今后的待遇调整。对改革后参加工作的人员，通过建立新机制，实现待遇的合理衔接。对改革前参加工作、改革后退休的人员，通过采取过渡性措施，保持待遇水平不降低。（牵头单位：区人社局）</w:t>
      </w:r>
    </w:p>
    <w:p w14:paraId="3505BD05">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7.区卫生行政主管部门会同人社、财政、监察等部门根据相关规定，制定在编在岗人员定期考核制度，建立健全规范的人员奖励、晋升、评聘和解聘、辞退机制，充分调动医护人员的工作积极性。（牵头单位：区卫计委）</w:t>
      </w:r>
    </w:p>
    <w:p w14:paraId="1134AB51">
      <w:pPr>
        <w:pStyle w:val="3"/>
        <w:pageBreakBefore w:val="0"/>
        <w:widowControl w:val="0"/>
        <w:kinsoku/>
        <w:wordWrap/>
        <w:overflowPunct/>
        <w:topLinePunct w:val="0"/>
        <w:autoSpaceDE/>
        <w:autoSpaceDN/>
        <w:bidi w:val="0"/>
        <w:adjustRightInd w:val="0"/>
        <w:snapToGrid w:val="0"/>
        <w:spacing w:beforeLines="0" w:afterLines="0" w:line="590" w:lineRule="exact"/>
        <w:ind w:right="0" w:rightChars="0"/>
        <w:textAlignment w:val="auto"/>
        <w:rPr>
          <w:rFonts w:hint="eastAsia"/>
        </w:rPr>
      </w:pPr>
      <w:r>
        <w:rPr>
          <w:rFonts w:hint="eastAsia"/>
        </w:rPr>
        <w:t>三、推进分配方式改革，强化优绩优酬，落实分配自主权</w:t>
      </w:r>
    </w:p>
    <w:p w14:paraId="661EA0A4">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8.由区卫生部门牵头，会同区财政、人社等部门完善绩效考核方案及绩效工资分配的指导性意见，并定期对基层医疗卫生机构管理绩效、服务质量数量、合理用药、医疗费用控制、转诊率、公共卫生服务任务完成和村卫生室（社区卫生服务站）管理情况、患者满意度等进行考核，考核结果与基层医疗卫生机构工资总额、财政补助、医保实际支付总额和对院长（主任）的奖励及使用相挂钩。（牵头单位：区卫计委）</w:t>
      </w:r>
    </w:p>
    <w:p w14:paraId="1C06B6A0">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9.加强基层医疗卫生机构绩效考核。（1）完善乡镇卫生院和社区卫生服务中心考核办法，主要考核管理绩效、服务质量和数量、合理用药、医疗费用控制、转诊率、公共卫生服务任务完成和村卫生室管理情况、群众满意度等，考核结果与单位工资总额挂钩。（2）实行全额绩效分配和按月预分配、年终总结算制度，落实院长（主任）分配自主权提高奖励性绩效工资比例，调动医务人员特别是业务骨干的积极性。（3）考核工作由各基层医疗卫生机构组织实施。考核结果上报区卫计委、财政、人社部门，经相关部门审核通过后下发落实。（区卫计委、区财政局、区人社局）</w:t>
      </w:r>
    </w:p>
    <w:p w14:paraId="3B7DBAA3">
      <w:pPr>
        <w:pStyle w:val="3"/>
        <w:pageBreakBefore w:val="0"/>
        <w:widowControl w:val="0"/>
        <w:kinsoku/>
        <w:wordWrap/>
        <w:overflowPunct/>
        <w:topLinePunct w:val="0"/>
        <w:autoSpaceDE/>
        <w:autoSpaceDN/>
        <w:bidi w:val="0"/>
        <w:adjustRightInd w:val="0"/>
        <w:snapToGrid w:val="0"/>
        <w:spacing w:beforeLines="0" w:afterLines="0" w:line="590" w:lineRule="exact"/>
        <w:ind w:right="0" w:rightChars="0"/>
        <w:textAlignment w:val="auto"/>
        <w:rPr>
          <w:rFonts w:hint="eastAsia"/>
        </w:rPr>
      </w:pPr>
      <w:r>
        <w:rPr>
          <w:rFonts w:hint="eastAsia"/>
        </w:rPr>
        <w:t>四、推进管理方式改革，建立科学有效机制，落实规范管理权</w:t>
      </w:r>
    </w:p>
    <w:p w14:paraId="7897F6C0">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10.建立药品耗材集中采购制度，强化监管监督。乡镇卫生院（社区卫生服务中心）和一体化管理的村卫生室（社区卫生服务站）必须严格执行药品网采和零差率销售，医用耗材按规定统一招标采购。引导基层合理规范用药，加强对医务人员基本药物知识培训，保证临床用药合理、安全、有效、价廉，加强药品不良反应监测。引导群众转变用药习惯，促进优先、合理使用基本药物。卫生部门要建立药品采购及合理使用监管机制，将药品网采和零差率销售与零差率补助经费挂钩。医保和新农合管理部门建立基金支付约束控制机制，强化基本药物临床使用监管和实时监控。（牵头单位：区卫计委）</w:t>
      </w:r>
    </w:p>
    <w:p w14:paraId="3A01863D">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11.建立政府购买公共卫生服务制度，强化基本公共卫生服务工作。将区、乡、村应完成的公共卫生任务指标纳入考核内容，明确责任，层层分解。要提高公共卫生经费使用的实效性，按照《安徽省政府购买医疗卫生服务实施办法》的要求，对公共卫生经费采取“购买服务、分项考核、按季兑付、年终结算”。对村医提供的基本公共卫生服务，根据实际工作量，按48%左右的国家基本公共卫生服务经费拨付，其余经费拨付至卫生院及其他参与单位。通过完成基本公共卫生服务获得的收入纳入单位经常性业务收入，统筹使用，可以由乡镇卫生院按照基层医疗卫生机构财务管理制度自主支配。收支结余主要用于职工的福利和奖励。区卫生行政主管部门会同财政部门科学制定公共卫生经费分配方案，重点向危害本地居民健康的重大公共卫生问题倾斜，提标扩面。（单位：区卫计委、财政局）</w:t>
      </w:r>
    </w:p>
    <w:p w14:paraId="525524E1">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12.建立人才培养制度，强化基层卫生队伍梯队建设。区卫计委制定本区基层医疗卫生人员培养规划和鼓励激励机制，逐步完善全科医学制度建设和市直、区级公立医院医师多点执业机制。认真开展全科医生转岗培训、全科医师规范化培训、农村订单定向医学生免费培养等工作。加强在岗医务人员继续教育，强化对在岗医务人员定期开展必要的岗位培训，确保每3年进行一次全员岗位培训，培训结果作为岗位聘用的依据。制定相应政策，争取市直公立医院骨干医师到基层执业、带教，激励基层在岗人员到上级医院学习，建立市直医疗卫生机构与乡镇卫生院双向挂职锻炼的学习机制。</w:t>
      </w:r>
    </w:p>
    <w:p w14:paraId="4FFEDAA7">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严格执行城市医院和疾病预防控制机构晋升主治医师或副主任医师职称前到农村服务累计1年以上的政策。深化对口协作，加强上级医院与基层医疗卫生机构之间的人才合作交流，建立定期巡诊和轮训机制。争取市直医院医生（包括退休医生）采取多种方式到基层医疗卫生机构提供服务，并可获得合理报酬。（单位：区卫计委、人社局）</w:t>
      </w:r>
    </w:p>
    <w:p w14:paraId="22098C54">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13.建立相互联动的互惠互利机制，强化内部体系建设，推进基层医疗卫生机构标准化建设。适应新型城镇化和优化行政区划的新要求，合理规划布局基层医疗卫生机构和中心卫生院的设置，对中心卫生院在人员编制、基础设施建设、医疗设备投入、人才招聘和引进、特色专科建设等方面要重点倾斜，支持马城镇中心卫生院创建二级综合医院；加强一般卫生院（社区卫生服务中心）标准化建设，每千人拥有床位数及卫生技术人员数应逐步达到标准要求（4张/1000人）；积极组建区域医疗联合体，扶持乡镇卫生院（社区卫生服务中心）与市直公立医院建立医师多点执业、病人双向转诊、人才培养、科室托管或领办等互惠联动机制，加快推进乡镇卫生院（社区卫生服务中心）标准化、规范化建设，切实促进服务能力的提升；继续增加医疗卫生经费的投入，确保禹会区120急救中心建设项目尽快建成并投入使用，同时请相关部门协调解决急救中心日常运行费用，以保证120急救绿色通道的畅通。（单位：区卫计委、编办、人社局、财政局）</w:t>
      </w:r>
    </w:p>
    <w:p w14:paraId="2E42075A">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14.继续加快推进医院以电子病历为主导的信息化平台建设，切实推进公共卫生信息平台、妇幼保健信息平台、疾病预防控制信息平台、农合结报信息平台、药品耗材采购信息平台、计生统计信息平台等信息化平台的并联运行，使区域卫生信息平台更加完善，全面覆盖基层医疗卫生机构和村卫生室。统一数据标准和规范，将基本药物供应使用、价格管理、人口信息、居民健康管理、公共卫生服务、电子病历、基本医疗服务、绩效考核、医疗成本核算等作为信息系统建设的重要内容。逐步实现基层医疗卫生机构与区域内医院、公共卫生机构、市医保经办管理机构等信息互联互通、资源共享共认。（牵头单位：区卫计委）</w:t>
      </w:r>
    </w:p>
    <w:p w14:paraId="446758F0">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15.强化乡镇卫生院（社区卫生服务中心）内部建设和管理。卫生行政主管部门要充分发挥好统筹建设资金的作用，根据区域医疗卫生资源发展现状和实际需求，重点放在服务能力的提升改造和建设上，同时要积极争取上级项目，推动乡镇卫生院（社区卫生服务中心）硬件建设逐步完善。要不断提升乡镇卫生院（社区卫生服务中心）内部管理的精细化、科学化、专业化水平，按照标准要求，建立健全各项规章制度，规范操作流程，重点对乡镇卫生院（社区卫生服务中心）的急诊急救能力、服务质量、合理用药、“三费”控制、转诊率、公共卫生任务完成、群众满意度等方面进行日常监督管理。（牵头单位：区卫计委）</w:t>
      </w:r>
    </w:p>
    <w:p w14:paraId="5E8346F4">
      <w:pPr>
        <w:pStyle w:val="3"/>
        <w:pageBreakBefore w:val="0"/>
        <w:widowControl w:val="0"/>
        <w:kinsoku/>
        <w:wordWrap/>
        <w:overflowPunct/>
        <w:topLinePunct w:val="0"/>
        <w:autoSpaceDE/>
        <w:autoSpaceDN/>
        <w:bidi w:val="0"/>
        <w:adjustRightInd w:val="0"/>
        <w:snapToGrid w:val="0"/>
        <w:spacing w:beforeLines="0" w:afterLines="0" w:line="590" w:lineRule="exact"/>
        <w:ind w:right="0" w:rightChars="0"/>
        <w:textAlignment w:val="auto"/>
        <w:rPr>
          <w:rFonts w:hint="eastAsia"/>
        </w:rPr>
      </w:pPr>
      <w:r>
        <w:rPr>
          <w:rFonts w:hint="eastAsia"/>
        </w:rPr>
        <w:t>五、推进村级卫生改革，建立统筹机制，落实主体责任</w:t>
      </w:r>
    </w:p>
    <w:p w14:paraId="37E65F86">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16.完善准入退出机制，充实优化村医队伍。按每1000个农业户籍人口配备1名村医的标准配备村医，村卫生室（社区卫生服务站）实有人员未达规定标准的，由所属基层医疗卫生机构通过购买服务、辖区内调剂、返聘到龄退出乡医、招聘有资质人员、派驻等方式逐步解决；乡镇卫生院（社区卫生服务中心）派驻村卫生室（社区卫生服务站）工作人员可根据服务质量、数量、群众满意度考核取得适当报酬。新进村医原则上应当具备执业助理医师或以上资格，经卫生行政部门考试或考核合格后进入，否则不予认可；村卫生室（社区卫生服务站）实有人员超过规定配备标准的，严禁安排新进人员。完善到龄村医退出办法和老年村医生活保障机制，逐步提高村医养老金水平，在岗村医养老保险比照村干部政策执行，解决村医后顾之忧。（牵头单位：区卫计委）</w:t>
      </w:r>
    </w:p>
    <w:p w14:paraId="6EBD65C6">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17.完善并落实村卫生室一般诊疗费、药品零差率销售补助、基本公共卫生服务经费补助及运行经费补助政策。对村医提供的基本公共卫生服务，其经费按季预拨至乡镇卫生院村卫生室一体化账户，年终考核结算。村卫生室实行药品零差率销售，每年补助费用和门诊补助费用按省、市、区相关规定执行。区财政负责对村卫生室日常运行发生的水电费、网络使用费等公用支出给予每个村卫生室每年3600元补助。村卫生室用水、用电执行当地居民用水、用电价格。探索实施乡村医生和农村居民签约服务模式，并按规定收取费用。（牵头单位：区卫计委）</w:t>
      </w:r>
    </w:p>
    <w:p w14:paraId="0066E6BC">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18.积极探索区、乡、村医疗卫生机构一体化发展。逐步优化完善村卫生室（社区卫生服务站）由乡镇卫生院（社区卫生服务中心）“院办院管”的统筹管理模式，对无法提供基本医疗和基本公共卫生服务的村卫生室，试行中心村卫生室的管理模式，提高基本医疗卫生服务均等化水平。乡镇卫生院（社区卫生服务中心）要继续对村卫生室（社区卫生服务站）实行“人员统一调配使用、绩效统一考核发放、药品统一采购配送”的规范化管理。（牵头单位：区卫计委）</w:t>
      </w:r>
    </w:p>
    <w:p w14:paraId="324DC2DF">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19.鼓励社区卫生服务中心辖区内有一定影响的、具备执业资质的医师申请开办特色专科诊所，为辖区居民提供基本医疗服务。除政府购买服务外，个人诊所不享受新农合报销政策、公共卫生补助经费及零差率补助经费等相关待遇。（牵头单位：区卫计委）</w:t>
      </w:r>
    </w:p>
    <w:p w14:paraId="0F3A596C">
      <w:pPr>
        <w:pStyle w:val="3"/>
        <w:pageBreakBefore w:val="0"/>
        <w:widowControl w:val="0"/>
        <w:kinsoku/>
        <w:wordWrap/>
        <w:overflowPunct/>
        <w:topLinePunct w:val="0"/>
        <w:autoSpaceDE/>
        <w:autoSpaceDN/>
        <w:bidi w:val="0"/>
        <w:adjustRightInd w:val="0"/>
        <w:snapToGrid w:val="0"/>
        <w:spacing w:beforeLines="0" w:afterLines="0" w:line="590" w:lineRule="exact"/>
        <w:ind w:right="0" w:rightChars="0"/>
        <w:textAlignment w:val="auto"/>
        <w:rPr>
          <w:rFonts w:hint="eastAsia"/>
        </w:rPr>
      </w:pPr>
      <w:r>
        <w:rPr>
          <w:rFonts w:hint="eastAsia"/>
        </w:rPr>
        <w:t>六、加强组织领导，</w:t>
      </w:r>
      <w:bookmarkStart w:id="0" w:name="_GoBack"/>
      <w:r>
        <w:rPr>
          <w:rFonts w:hint="eastAsia"/>
        </w:rPr>
        <w:t>增强部门协同，</w:t>
      </w:r>
      <w:bookmarkEnd w:id="0"/>
      <w:r>
        <w:rPr>
          <w:rFonts w:hint="eastAsia"/>
        </w:rPr>
        <w:t>确保政策落实</w:t>
      </w:r>
    </w:p>
    <w:p w14:paraId="3211E6E3">
      <w:pPr>
        <w:pageBreakBefore w:val="0"/>
        <w:widowControl w:val="0"/>
        <w:kinsoku/>
        <w:wordWrap/>
        <w:overflowPunct/>
        <w:topLinePunct w:val="0"/>
        <w:autoSpaceDE/>
        <w:autoSpaceDN/>
        <w:bidi w:val="0"/>
        <w:adjustRightInd w:val="0"/>
        <w:snapToGrid w:val="0"/>
        <w:spacing w:line="590" w:lineRule="exact"/>
        <w:ind w:right="0" w:rightChars="0"/>
        <w:jc w:val="left"/>
        <w:textAlignment w:val="auto"/>
        <w:rPr>
          <w:rFonts w:hint="eastAsia"/>
        </w:rPr>
      </w:pPr>
      <w:r>
        <w:rPr>
          <w:rFonts w:hint="eastAsia"/>
        </w:rPr>
        <w:t>20.完善基层医药卫生体制综合改革工作关系医药卫生体制改革全局，关系社会和谐稳定大局。各相关部门要从讲政治的高度，从大局出发，按照各自的职责分工，各司其职，加强协调，密切配合，严格落实责任，区医改工作领导小组定期召开会议，分析问题，解决问题，强有力的推进工作进程，保证改革顺利实施，确保各项政策措施落实到位。（各单位）</w:t>
      </w:r>
    </w:p>
    <w:p w14:paraId="61B1E4AE">
      <w:pPr>
        <w:pageBreakBefore w:val="0"/>
        <w:widowControl w:val="0"/>
        <w:kinsoku/>
        <w:wordWrap/>
        <w:overflowPunct/>
        <w:topLinePunct w:val="0"/>
        <w:autoSpaceDE/>
        <w:autoSpaceDN/>
        <w:bidi w:val="0"/>
        <w:adjustRightInd w:val="0"/>
        <w:snapToGrid w:val="0"/>
        <w:spacing w:line="590" w:lineRule="exact"/>
        <w:ind w:right="0" w:rightChars="0"/>
        <w:jc w:val="left"/>
        <w:textAlignment w:val="auto"/>
      </w:pPr>
      <w:r>
        <w:rPr>
          <w:rFonts w:hint="eastAsia"/>
        </w:rPr>
        <w:t>21.本方案自下文之日起执行，本方案由区医改领导小组负责解释。</w:t>
      </w:r>
    </w:p>
    <w:sectPr>
      <w:headerReference r:id="rId5" w:type="default"/>
      <w:footerReference r:id="rId6" w:type="default"/>
      <w:pgSz w:w="11906" w:h="16838"/>
      <w:pgMar w:top="1962" w:right="1474" w:bottom="1848" w:left="1587" w:header="851" w:footer="992" w:gutter="0"/>
      <w:pgNumType w:fmt="numberInDash"/>
      <w:cols w:space="72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19B7D">
    <w:pPr>
      <w:pStyle w:val="8"/>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2332366">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72332366">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4B866832">
    <w:pPr>
      <w:pStyle w:val="8"/>
      <w:tabs>
        <w:tab w:val="left" w:pos="5120"/>
      </w:tabs>
      <w:wordWrap/>
      <w:ind w:left="6093" w:leftChars="1904" w:firstLine="7600" w:firstLineChars="2375"/>
      <w:jc w:val="lef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color w:val="FAFAFA"/>
        <w:sz w:val="32"/>
        <w:lang w:eastAsia="zh-CN"/>
      </w:rPr>
      <w:t>禹</w:t>
    </w:r>
    <w:r>
      <w:rPr>
        <w:rFonts w:hint="eastAsia" w:ascii="宋体" w:hAnsi="宋体" w:eastAsia="宋体" w:cs="宋体"/>
        <w:b/>
        <w:bCs/>
        <w:color w:val="005192"/>
        <w:sz w:val="28"/>
        <w:szCs w:val="44"/>
        <w:lang w:val="en-US" w:eastAsia="zh-CN"/>
      </w:rPr>
      <w:t>禹会区人民政府发布</w:t>
    </w:r>
  </w:p>
  <w:p w14:paraId="2ECB7CA5">
    <w:pPr>
      <w:pStyle w:val="8"/>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DD0089">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06777D96">
    <w:pPr>
      <w:pStyle w:val="8"/>
      <w:keepNext w:val="0"/>
      <w:keepLines w:val="0"/>
      <w:pageBreakBefore w:val="0"/>
      <w:widowControl w:val="0"/>
      <w:kinsoku/>
      <w:wordWrap/>
      <w:overflowPunct/>
      <w:topLinePunct w:val="0"/>
      <w:autoSpaceDE/>
      <w:autoSpaceDN/>
      <w:bidi w:val="0"/>
      <w:adjustRightInd/>
      <w:snapToGrid w:val="0"/>
      <w:ind w:left="0" w:leftChars="0" w:firstLine="0" w:firstLineChars="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eastAsia="宋体" w:cs="宋体"/>
        <w:b/>
        <w:bCs/>
        <w:color w:val="005192"/>
        <w:sz w:val="32"/>
        <w:szCs w:val="32"/>
        <w:lang w:val="en-US" w:eastAsia="zh-CN"/>
      </w:rPr>
      <w:t>禹会区人民政府行政规范性文件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hyphenationZone w:val="36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zMzY2Mzc4MTkyNWQ5ZTljY2E1OWYwZWYyMTZkODIifQ=="/>
  </w:docVars>
  <w:rsids>
    <w:rsidRoot w:val="35D35E0A"/>
    <w:rsid w:val="001D7D62"/>
    <w:rsid w:val="002D16D0"/>
    <w:rsid w:val="002E4544"/>
    <w:rsid w:val="003460D6"/>
    <w:rsid w:val="00446363"/>
    <w:rsid w:val="00470FE1"/>
    <w:rsid w:val="004E22B6"/>
    <w:rsid w:val="005730A1"/>
    <w:rsid w:val="00590B16"/>
    <w:rsid w:val="005A1C5E"/>
    <w:rsid w:val="00600441"/>
    <w:rsid w:val="00684F78"/>
    <w:rsid w:val="006851C5"/>
    <w:rsid w:val="008433B7"/>
    <w:rsid w:val="00844FA2"/>
    <w:rsid w:val="00957638"/>
    <w:rsid w:val="0098031F"/>
    <w:rsid w:val="00A925E7"/>
    <w:rsid w:val="00BA5329"/>
    <w:rsid w:val="00BC6DA6"/>
    <w:rsid w:val="00C27EC2"/>
    <w:rsid w:val="00C60C5E"/>
    <w:rsid w:val="00C6118A"/>
    <w:rsid w:val="00C84546"/>
    <w:rsid w:val="00D2364B"/>
    <w:rsid w:val="00D556A3"/>
    <w:rsid w:val="00DF7BA5"/>
    <w:rsid w:val="00E76BA5"/>
    <w:rsid w:val="00EA6552"/>
    <w:rsid w:val="00FE42EC"/>
    <w:rsid w:val="044E2BE0"/>
    <w:rsid w:val="04CF7DD5"/>
    <w:rsid w:val="095017C9"/>
    <w:rsid w:val="0CA74195"/>
    <w:rsid w:val="0D6E2919"/>
    <w:rsid w:val="0D702B46"/>
    <w:rsid w:val="0DE11386"/>
    <w:rsid w:val="0FEC65F2"/>
    <w:rsid w:val="10EC026D"/>
    <w:rsid w:val="11852026"/>
    <w:rsid w:val="11CF7E61"/>
    <w:rsid w:val="15C02F0A"/>
    <w:rsid w:val="1C3049F0"/>
    <w:rsid w:val="200D770F"/>
    <w:rsid w:val="20F71364"/>
    <w:rsid w:val="21937112"/>
    <w:rsid w:val="24D323EB"/>
    <w:rsid w:val="25D17131"/>
    <w:rsid w:val="25E44CFA"/>
    <w:rsid w:val="2CA90A4C"/>
    <w:rsid w:val="2CF3297D"/>
    <w:rsid w:val="2D434711"/>
    <w:rsid w:val="2E423D1F"/>
    <w:rsid w:val="2F68699C"/>
    <w:rsid w:val="305B205D"/>
    <w:rsid w:val="31774F4A"/>
    <w:rsid w:val="35D35E0A"/>
    <w:rsid w:val="368045CB"/>
    <w:rsid w:val="36DD5948"/>
    <w:rsid w:val="37B12DFF"/>
    <w:rsid w:val="3B0507A8"/>
    <w:rsid w:val="3B95265F"/>
    <w:rsid w:val="3DBE0345"/>
    <w:rsid w:val="3DE30632"/>
    <w:rsid w:val="3E926292"/>
    <w:rsid w:val="3EF81456"/>
    <w:rsid w:val="3F291C46"/>
    <w:rsid w:val="416C3416"/>
    <w:rsid w:val="4273305F"/>
    <w:rsid w:val="428D15CD"/>
    <w:rsid w:val="42B574B3"/>
    <w:rsid w:val="48877A3B"/>
    <w:rsid w:val="4A105393"/>
    <w:rsid w:val="4AFE3513"/>
    <w:rsid w:val="50051B58"/>
    <w:rsid w:val="501D1E7A"/>
    <w:rsid w:val="50294A14"/>
    <w:rsid w:val="509728BD"/>
    <w:rsid w:val="520F168C"/>
    <w:rsid w:val="527F7265"/>
    <w:rsid w:val="540A69A3"/>
    <w:rsid w:val="551441B4"/>
    <w:rsid w:val="561072C2"/>
    <w:rsid w:val="59230CE9"/>
    <w:rsid w:val="5A6F7F65"/>
    <w:rsid w:val="5B091D81"/>
    <w:rsid w:val="5DD55E19"/>
    <w:rsid w:val="5EB439CE"/>
    <w:rsid w:val="5EBA0CB8"/>
    <w:rsid w:val="61985DB4"/>
    <w:rsid w:val="62A30143"/>
    <w:rsid w:val="645C2EC8"/>
    <w:rsid w:val="675B5CA9"/>
    <w:rsid w:val="6A8971A6"/>
    <w:rsid w:val="6D8D3136"/>
    <w:rsid w:val="72DF3B44"/>
    <w:rsid w:val="74A92964"/>
    <w:rsid w:val="76014AFB"/>
    <w:rsid w:val="761B163F"/>
    <w:rsid w:val="76DE611E"/>
    <w:rsid w:val="76E6616C"/>
    <w:rsid w:val="78113D54"/>
    <w:rsid w:val="79CF307F"/>
    <w:rsid w:val="7E1712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90" w:lineRule="exact"/>
      <w:ind w:firstLine="420" w:firstLineChars="200"/>
      <w:jc w:val="both"/>
    </w:pPr>
    <w:rPr>
      <w:rFonts w:ascii="Times New Roman" w:hAnsi="Times New Roman" w:eastAsia="方正仿宋_GBK" w:cs="Times New Roman"/>
      <w:kern w:val="2"/>
      <w:sz w:val="32"/>
      <w:szCs w:val="24"/>
      <w:lang w:val="en-US" w:eastAsia="zh-CN" w:bidi="ar-SA"/>
    </w:rPr>
  </w:style>
  <w:style w:type="paragraph" w:styleId="2">
    <w:name w:val="heading 1"/>
    <w:basedOn w:val="1"/>
    <w:next w:val="1"/>
    <w:qFormat/>
    <w:uiPriority w:val="0"/>
    <w:pPr>
      <w:keepNext/>
      <w:keepLines/>
      <w:adjustRightInd w:val="0"/>
      <w:snapToGrid w:val="0"/>
      <w:spacing w:beforeLines="0" w:beforeAutospacing="0" w:afterLines="0" w:afterAutospacing="0" w:line="590" w:lineRule="exact"/>
      <w:jc w:val="center"/>
      <w:outlineLvl w:val="0"/>
    </w:pPr>
    <w:rPr>
      <w:rFonts w:ascii="Times New Roman" w:hAnsi="Times New Roman" w:eastAsia="方正小标宋_GBK"/>
      <w:kern w:val="44"/>
      <w:sz w:val="44"/>
    </w:rPr>
  </w:style>
  <w:style w:type="paragraph" w:styleId="3">
    <w:name w:val="heading 2"/>
    <w:basedOn w:val="1"/>
    <w:next w:val="1"/>
    <w:link w:val="19"/>
    <w:unhideWhenUsed/>
    <w:qFormat/>
    <w:uiPriority w:val="0"/>
    <w:pPr>
      <w:keepNext/>
      <w:keepLines/>
      <w:adjustRightInd w:val="0"/>
      <w:snapToGrid w:val="0"/>
      <w:spacing w:beforeLines="0" w:beforeAutospacing="0" w:afterLines="0" w:afterAutospacing="0" w:line="590" w:lineRule="exact"/>
      <w:ind w:firstLine="420" w:firstLineChars="200"/>
      <w:outlineLvl w:val="1"/>
    </w:pPr>
    <w:rPr>
      <w:rFonts w:ascii="Arial" w:hAnsi="Arial" w:eastAsia="方正黑体_GBK"/>
    </w:rPr>
  </w:style>
  <w:style w:type="paragraph" w:styleId="4">
    <w:name w:val="heading 3"/>
    <w:basedOn w:val="1"/>
    <w:next w:val="1"/>
    <w:link w:val="17"/>
    <w:unhideWhenUsed/>
    <w:qFormat/>
    <w:uiPriority w:val="0"/>
    <w:pPr>
      <w:keepNext/>
      <w:keepLines/>
      <w:spacing w:beforeLines="0" w:beforeAutospacing="0" w:afterLines="0" w:afterAutospacing="0" w:line="590" w:lineRule="exact"/>
      <w:outlineLvl w:val="2"/>
    </w:pPr>
    <w:rPr>
      <w:rFonts w:eastAsia="方正楷体_GBK"/>
    </w:rPr>
  </w:style>
  <w:style w:type="paragraph" w:styleId="5">
    <w:name w:val="heading 4"/>
    <w:basedOn w:val="1"/>
    <w:next w:val="1"/>
    <w:unhideWhenUsed/>
    <w:qFormat/>
    <w:uiPriority w:val="0"/>
    <w:pPr>
      <w:keepNext/>
      <w:keepLines/>
      <w:spacing w:beforeLines="0" w:beforeAutospacing="0" w:afterLines="0" w:afterAutospacing="0" w:line="590" w:lineRule="exact"/>
      <w:ind w:right="640" w:rightChars="200" w:firstLine="0" w:firstLineChars="0"/>
      <w:jc w:val="right"/>
      <w:outlineLvl w:val="3"/>
    </w:pPr>
    <w:rPr>
      <w:rFonts w:ascii="Times New Roman" w:hAnsi="Times New Roman"/>
    </w:rPr>
  </w:style>
  <w:style w:type="character" w:default="1" w:styleId="12">
    <w:name w:val="Default Paragraph Font"/>
    <w:qFormat/>
    <w:uiPriority w:val="0"/>
  </w:style>
  <w:style w:type="table" w:default="1" w:styleId="11">
    <w:name w:val="Normal Table"/>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Indent 3"/>
    <w:basedOn w:val="1"/>
    <w:qFormat/>
    <w:uiPriority w:val="0"/>
    <w:pPr>
      <w:adjustRightInd/>
      <w:snapToGrid/>
      <w:spacing w:after="120" w:line="240" w:lineRule="auto"/>
      <w:ind w:left="420" w:leftChars="200" w:firstLine="0" w:firstLineChars="0"/>
    </w:pPr>
    <w:rPr>
      <w:rFonts w:eastAsia="宋体"/>
      <w:sz w:val="16"/>
      <w:szCs w:val="16"/>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3">
    <w:name w:val="Strong"/>
    <w:basedOn w:val="12"/>
    <w:qFormat/>
    <w:uiPriority w:val="0"/>
    <w:rPr>
      <w:b/>
      <w:bCs/>
    </w:rPr>
  </w:style>
  <w:style w:type="character" w:styleId="14">
    <w:name w:val="page number"/>
    <w:basedOn w:val="12"/>
    <w:qFormat/>
    <w:uiPriority w:val="0"/>
    <w:rPr>
      <w:rFonts w:ascii="Times New Roman" w:hAnsi="Times New Roman" w:eastAsia="宋体" w:cs="Times New Roman"/>
    </w:rPr>
  </w:style>
  <w:style w:type="paragraph" w:customStyle="1" w:styleId="15">
    <w:name w:val="样式1"/>
    <w:basedOn w:val="2"/>
    <w:next w:val="1"/>
    <w:qFormat/>
    <w:uiPriority w:val="0"/>
    <w:pPr>
      <w:widowControl/>
      <w:ind w:right="640" w:rightChars="200" w:firstLine="0" w:firstLineChars="0"/>
      <w:jc w:val="right"/>
      <w:textAlignment w:val="center"/>
    </w:pPr>
    <w:rPr>
      <w:rFonts w:eastAsia="方正仿宋_GBK"/>
      <w:sz w:val="32"/>
      <w:szCs w:val="32"/>
    </w:rPr>
  </w:style>
  <w:style w:type="paragraph" w:customStyle="1" w:styleId="16">
    <w:name w:val="样式2"/>
    <w:basedOn w:val="1"/>
    <w:qFormat/>
    <w:uiPriority w:val="0"/>
    <w:pPr>
      <w:adjustRightInd w:val="0"/>
      <w:snapToGrid w:val="0"/>
      <w:spacing w:line="560" w:lineRule="exact"/>
      <w:jc w:val="left"/>
    </w:pPr>
    <w:rPr>
      <w:rFonts w:hint="eastAsia" w:ascii="方正小标宋简体" w:hAnsi="方正小标宋简体" w:eastAsia="仿宋_GB2312" w:cs="方正小标宋简体"/>
      <w:sz w:val="32"/>
      <w:szCs w:val="44"/>
    </w:rPr>
  </w:style>
  <w:style w:type="character" w:customStyle="1" w:styleId="17">
    <w:name w:val="标题 3 Char"/>
    <w:link w:val="4"/>
    <w:qFormat/>
    <w:uiPriority w:val="0"/>
    <w:rPr>
      <w:rFonts w:eastAsia="方正楷体_GBK"/>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标题 2 Char"/>
    <w:link w:val="3"/>
    <w:qFormat/>
    <w:uiPriority w:val="0"/>
    <w:rPr>
      <w:rFonts w:ascii="Arial" w:hAnsi="Arial" w:eastAsia="方正黑体_GBK"/>
      <w:sz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wps\zh_CN\&#31161;&#20250;&#21306;&#27169;&#26495;.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禹会区模板.wpt</Template>
  <Pages>12</Pages>
  <Words>5649</Words>
  <Characters>5733</Characters>
  <Lines>0</Lines>
  <Paragraphs>0</Paragraphs>
  <TotalTime>22</TotalTime>
  <ScaleCrop>false</ScaleCrop>
  <LinksUpToDate>false</LinksUpToDate>
  <CharactersWithSpaces>5797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2022-11-01T06:32:00Z</dcterms:created>
  <dc:creator>chu.</dc:creator>
  <cp:lastModifiedBy>Spotlight.</cp:lastModifiedBy>
  <dcterms:modified xsi:type="dcterms:W3CDTF">2025-10-21T07:46:18Z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49CE51FF276A4E2CB1F394C91606F054_13</vt:lpwstr>
  </property>
  <property fmtid="{D5CDD505-2E9C-101B-9397-08002B2CF9AE}" pid="4" name="KSOTemplateDocerSaveRecord">
    <vt:lpwstr>eyJoZGlkIjoiMzUzYzcyODE0MWFlZTEyNjYyMGMxM2E3MzVjMjZlMTMiLCJ1c2VySWQiOiIyNjcxODI0NjMifQ==</vt:lpwstr>
  </property>
</Properties>
</file>