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35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auto"/>
          <w:spacing w:val="0"/>
          <w:sz w:val="44"/>
          <w:szCs w:val="44"/>
          <w:shd w:val="clear" w:fill="FFFFFF"/>
        </w:rPr>
      </w:pPr>
      <w:r>
        <w:rPr>
          <w:rFonts w:ascii="Times New Roman" w:hAnsi="Times New Roman" w:eastAsia="方正小标宋简体" w:cs="方正小标宋简体"/>
          <w:b w:val="0"/>
          <w:bCs w:val="0"/>
          <w:i w:val="0"/>
          <w:iCs w:val="0"/>
          <w:caps w:val="0"/>
          <w:color w:val="auto"/>
          <w:spacing w:val="0"/>
          <w:sz w:val="44"/>
          <w:szCs w:val="44"/>
          <w:shd w:val="clear" w:fill="FFFFFF"/>
        </w:rPr>
        <w:t>禹会区</w:t>
      </w:r>
      <w:r>
        <w:rPr>
          <w:rFonts w:hint="eastAsia" w:ascii="Times New Roman" w:hAnsi="Times New Roman" w:eastAsia="方正小标宋简体" w:cs="方正小标宋简体"/>
          <w:b w:val="0"/>
          <w:bCs w:val="0"/>
          <w:i w:val="0"/>
          <w:iCs w:val="0"/>
          <w:caps w:val="0"/>
          <w:color w:val="auto"/>
          <w:spacing w:val="0"/>
          <w:sz w:val="44"/>
          <w:szCs w:val="44"/>
          <w:shd w:val="clear" w:fill="FFFFFF"/>
          <w:lang w:eastAsia="zh-CN"/>
        </w:rPr>
        <w:t>人民</w:t>
      </w:r>
      <w:r>
        <w:rPr>
          <w:rFonts w:hint="eastAsia" w:ascii="Times New Roman" w:hAnsi="Times New Roman" w:eastAsia="方正小标宋简体" w:cs="方正小标宋简体"/>
          <w:b w:val="0"/>
          <w:bCs w:val="0"/>
          <w:i w:val="0"/>
          <w:iCs w:val="0"/>
          <w:caps w:val="0"/>
          <w:color w:val="auto"/>
          <w:spacing w:val="0"/>
          <w:sz w:val="44"/>
          <w:szCs w:val="44"/>
          <w:shd w:val="clear" w:fill="FFFFFF"/>
        </w:rPr>
        <w:t>政府</w:t>
      </w:r>
      <w:r>
        <w:rPr>
          <w:rFonts w:hint="eastAsia" w:ascii="Times New Roman" w:hAnsi="Times New Roman" w:eastAsia="方正小标宋简体" w:cs="方正小标宋简体"/>
          <w:b w:val="0"/>
          <w:bCs w:val="0"/>
          <w:i w:val="0"/>
          <w:iCs w:val="0"/>
          <w:caps w:val="0"/>
          <w:color w:val="auto"/>
          <w:spacing w:val="0"/>
          <w:sz w:val="44"/>
          <w:szCs w:val="44"/>
          <w:shd w:val="clear" w:fill="FFFFFF"/>
          <w:lang w:val="en-US" w:eastAsia="zh-CN"/>
        </w:rPr>
        <w:t>2025</w:t>
      </w:r>
      <w:r>
        <w:rPr>
          <w:rFonts w:hint="eastAsia" w:ascii="Times New Roman" w:hAnsi="Times New Roman" w:eastAsia="方正小标宋简体" w:cs="方正小标宋简体"/>
          <w:b w:val="0"/>
          <w:bCs w:val="0"/>
          <w:i w:val="0"/>
          <w:iCs w:val="0"/>
          <w:caps w:val="0"/>
          <w:color w:val="auto"/>
          <w:spacing w:val="0"/>
          <w:sz w:val="44"/>
          <w:szCs w:val="44"/>
          <w:shd w:val="clear" w:fill="FFFFFF"/>
        </w:rPr>
        <w:t>年政府信息公开</w:t>
      </w:r>
    </w:p>
    <w:p w14:paraId="7C461A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ascii="Times New Roman" w:hAnsi="Times New Roman" w:eastAsia="方正小标宋简体" w:cs="方正小标宋简体"/>
          <w:b w:val="0"/>
          <w:bCs w:val="0"/>
          <w:i w:val="0"/>
          <w:iCs w:val="0"/>
          <w:caps w:val="0"/>
          <w:color w:val="auto"/>
          <w:spacing w:val="0"/>
          <w:sz w:val="44"/>
          <w:szCs w:val="44"/>
          <w:shd w:val="clear" w:fill="FFFFFF"/>
        </w:rPr>
      </w:pPr>
      <w:r>
        <w:rPr>
          <w:rFonts w:hint="eastAsia" w:ascii="Times New Roman" w:hAnsi="Times New Roman" w:eastAsia="方正小标宋简体" w:cs="方正小标宋简体"/>
          <w:b w:val="0"/>
          <w:bCs w:val="0"/>
          <w:i w:val="0"/>
          <w:iCs w:val="0"/>
          <w:caps w:val="0"/>
          <w:color w:val="auto"/>
          <w:spacing w:val="0"/>
          <w:sz w:val="44"/>
          <w:szCs w:val="44"/>
          <w:shd w:val="clear" w:fill="FFFFFF"/>
        </w:rPr>
        <w:t>工作年度报告</w:t>
      </w:r>
    </w:p>
    <w:p w14:paraId="2F60F9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20"/>
        <w:jc w:val="both"/>
        <w:rPr>
          <w:rFonts w:hint="default" w:ascii="Times New Roman" w:hAnsi="Times New Roman" w:cs="Calibri"/>
          <w:i w:val="0"/>
          <w:iCs w:val="0"/>
          <w:caps w:val="0"/>
          <w:color w:val="auto"/>
          <w:spacing w:val="0"/>
          <w:sz w:val="24"/>
          <w:szCs w:val="24"/>
        </w:rPr>
      </w:pPr>
    </w:p>
    <w:p w14:paraId="21F10D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报告是依据《中华人民共和国政府信息公开条例》（国务院令第711号）、《国务院办公厅政府信息与政务公开办公室关于印发&lt;中华人民共和国政府信息公开工作年度报告格式&gt;的通知》（国办公开办函〔2021〕30号）要求，结合2025年本单位政府信息公开工作推进落实情况和有关统计数据撰写本报告。报告主要包括：总体情况、主动公开政府信息情况、收到和处理政府信息公开申请情况、因政府信息公开被申请行政复议和提起行政诉讼情况、政府信息公开工作存在主要问题及改进情况和其他需要报告的事项。报告中使用数据统计期限为2025年1月1日至12月31日。如对本报告有任何疑问，请与禹会区政府办公室联系（地址：禹会区人民政府大楼606办公室，电话：0552-4016129，邮编：233000）。</w:t>
      </w:r>
    </w:p>
    <w:p w14:paraId="4032005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一、总体情况</w:t>
      </w:r>
    </w:p>
    <w:p w14:paraId="6E389E9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（一）主动公开情况</w:t>
      </w:r>
    </w:p>
    <w:p w14:paraId="66214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2025年，我区按照省、市政务公开部署要求，</w:t>
      </w:r>
      <w:r>
        <w:rPr>
          <w:rFonts w:hint="default" w:ascii="Times New Roman" w:hAnsi="Times New Roman" w:eastAsia="方正仿宋_GBK" w:cs="Times New Roman"/>
          <w:color w:val="000000"/>
          <w:kern w:val="0"/>
          <w:sz w:val="32"/>
          <w:szCs w:val="32"/>
          <w:lang w:val="en-US" w:eastAsia="zh-CN" w:bidi="ar-SA"/>
        </w:rPr>
        <w:t>制定并细化分解年度政务公开重点工作任务</w:t>
      </w:r>
      <w:r>
        <w:rPr>
          <w:rFonts w:hint="eastAsia"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主动公开政府信息</w:t>
      </w:r>
      <w:r>
        <w:rPr>
          <w:rFonts w:hint="eastAsia" w:ascii="Times New Roman" w:hAnsi="Times New Roman" w:eastAsia="方正仿宋_GBK" w:cs="Times New Roman"/>
          <w:color w:val="000000"/>
          <w:kern w:val="0"/>
          <w:sz w:val="32"/>
          <w:szCs w:val="32"/>
          <w:lang w:val="en-US" w:eastAsia="zh-CN" w:bidi="ar-SA"/>
        </w:rPr>
        <w:t>1.4万余</w:t>
      </w:r>
      <w:r>
        <w:rPr>
          <w:rFonts w:hint="default" w:ascii="Times New Roman" w:hAnsi="Times New Roman" w:eastAsia="方正仿宋_GBK" w:cs="Times New Roman"/>
          <w:color w:val="000000"/>
          <w:kern w:val="0"/>
          <w:sz w:val="32"/>
          <w:szCs w:val="32"/>
          <w:lang w:val="en-US" w:eastAsia="zh-CN" w:bidi="ar-SA"/>
        </w:rPr>
        <w:t>条</w:t>
      </w:r>
      <w:r>
        <w:rPr>
          <w:rFonts w:hint="eastAsia" w:ascii="Times New Roman" w:hAnsi="Times New Roman" w:eastAsia="方正仿宋_GBK" w:cs="Times New Roman"/>
          <w:color w:val="000000"/>
          <w:kern w:val="0"/>
          <w:sz w:val="32"/>
          <w:szCs w:val="32"/>
          <w:lang w:val="en-US" w:eastAsia="zh-CN" w:bidi="ar-SA"/>
        </w:rPr>
        <w:t>。一是做好政策文件及解读的公开发布。全面梳理</w:t>
      </w:r>
      <w:bookmarkStart w:id="0" w:name="_GoBack"/>
      <w:bookmarkEnd w:id="0"/>
      <w:r>
        <w:rPr>
          <w:rFonts w:hint="eastAsia" w:ascii="Times New Roman" w:hAnsi="Times New Roman" w:eastAsia="方正仿宋_GBK" w:cs="Times New Roman"/>
          <w:color w:val="000000"/>
          <w:kern w:val="0"/>
          <w:sz w:val="32"/>
          <w:szCs w:val="32"/>
          <w:lang w:val="en-US" w:eastAsia="zh-CN" w:bidi="ar-SA"/>
        </w:rPr>
        <w:t>政府文件，做好全区规范性文件及其他重要政策文件的标准化管理，规范文件格式和信息来源，及时发布规范性文件清理结果；发布政策文件5件，发布文字、负责人等各类政策解读18条；二是做好回应关切。做好重大事项决策预公开，发布意见征集11次，通过召开政府常务会、专题会、听证会等征集企业和群众意见4次；印发《2025年禹会区人民政府新闻发布会计划的通知》，按序时进度召开新闻发布会17场；三是做好行政权力信息公开。规范公开行政许可、行政处罚等执法信息，公开执法结果200余条，发布执法流程指引46条。四是做好重点领域信息发布。集中发布“双招双引”、扩大内需、助企纾困等栏目信息1200余条。</w:t>
      </w:r>
    </w:p>
    <w:p w14:paraId="56459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二</w:t>
      </w:r>
      <w:r>
        <w:rPr>
          <w:rFonts w:hint="eastAsia" w:ascii="Times New Roman" w:hAnsi="Times New Roman" w:eastAsia="楷体" w:cs="楷体"/>
          <w:color w:val="auto"/>
          <w:sz w:val="32"/>
          <w:szCs w:val="32"/>
          <w:lang w:eastAsia="zh-CN"/>
        </w:rPr>
        <w:t>）依申请公开情况</w:t>
      </w:r>
    </w:p>
    <w:p w14:paraId="3EA772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坚持依法办理与服务理念并重，严格按照受理、登记、审核、函询、办理、答复、归档等环节推进办理全过程。建立依申请公开会商办理机制，对于疑难复杂案件由分管领导召集专题会商。全年依法办理政府信息公开申请64件，办结率</w:t>
      </w:r>
      <w:r>
        <w:rPr>
          <w:rFonts w:hint="default" w:ascii="Times New Roman" w:hAnsi="Times New Roman" w:eastAsia="方正仿宋_GBK" w:cs="Times New Roman"/>
          <w:color w:val="000000"/>
          <w:kern w:val="0"/>
          <w:sz w:val="32"/>
          <w:szCs w:val="32"/>
          <w:lang w:val="en-US" w:eastAsia="zh-CN" w:bidi="ar-SA"/>
        </w:rPr>
        <w:t>100%</w:t>
      </w:r>
      <w:r>
        <w:rPr>
          <w:rFonts w:hint="eastAsia" w:ascii="Times New Roman" w:hAnsi="Times New Roman" w:eastAsia="方正仿宋_GBK" w:cs="Times New Roman"/>
          <w:color w:val="000000"/>
          <w:kern w:val="0"/>
          <w:sz w:val="32"/>
          <w:szCs w:val="32"/>
          <w:lang w:val="en-US" w:eastAsia="zh-CN" w:bidi="ar-SA"/>
        </w:rPr>
        <w:t>。</w:t>
      </w:r>
    </w:p>
    <w:p w14:paraId="46056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三</w:t>
      </w:r>
      <w:r>
        <w:rPr>
          <w:rFonts w:hint="eastAsia" w:ascii="Times New Roman" w:hAnsi="Times New Roman" w:eastAsia="楷体" w:cs="楷体"/>
          <w:color w:val="auto"/>
          <w:sz w:val="32"/>
          <w:szCs w:val="32"/>
          <w:lang w:eastAsia="zh-CN"/>
        </w:rPr>
        <w:t>）政府信息管理情况</w:t>
      </w:r>
    </w:p>
    <w:p w14:paraId="513865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一是严格执行政府信息公开审查机制，明确审查程序和责任，确保发布内容准确无误。对已公开的信息进行全面排查，及时清理失效信息、阶段性工作信息等各类不需长期保存的信息。二是采取“数据筛查”和“人工复核”相结合的方式，重点排查惠民惠农资金、社会救助等栏目，严防隐私泄露。三是严格把关信息发布的真实性，对已发布信息实行全面检查，杜绝抄袭、杜撰等问题。</w:t>
      </w:r>
    </w:p>
    <w:p w14:paraId="09197A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w:t>
      </w:r>
      <w:r>
        <w:rPr>
          <w:rFonts w:hint="eastAsia" w:ascii="Times New Roman" w:hAnsi="Times New Roman" w:eastAsia="楷体" w:cs="楷体"/>
          <w:color w:val="auto"/>
          <w:sz w:val="32"/>
          <w:szCs w:val="32"/>
          <w:lang w:val="en-US" w:eastAsia="zh-CN"/>
        </w:rPr>
        <w:t>四</w:t>
      </w:r>
      <w:r>
        <w:rPr>
          <w:rFonts w:hint="eastAsia" w:ascii="Times New Roman" w:hAnsi="Times New Roman" w:eastAsia="楷体" w:cs="楷体"/>
          <w:color w:val="auto"/>
          <w:sz w:val="32"/>
          <w:szCs w:val="32"/>
          <w:lang w:eastAsia="zh-CN"/>
        </w:rPr>
        <w:t>）政府信息公开平台建设情况</w:t>
      </w:r>
    </w:p>
    <w:p w14:paraId="1F6591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一是加强依托政府门户网站公开政府信息工作，不断完善政府信息公开平台信息检索、查阅、下载等功能，不断优化栏目设置和界面排版，提高公开实效。依据年度重点工作清单，适时调整目录，开设欠薪治理等专题专栏。二是做好政民互动。2025年，共收到网站咨询投诉留言71件，答复率、满意率均为100%；三是规范管理全区政务新媒体矩阵，及时转载国务院、省政府重要信息，发布辖区重要工作动态。</w:t>
      </w:r>
    </w:p>
    <w:p w14:paraId="60FF54D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lang w:eastAsia="zh-CN"/>
        </w:rPr>
        <w:t>（五）</w:t>
      </w:r>
      <w:r>
        <w:rPr>
          <w:rFonts w:hint="eastAsia" w:ascii="Times New Roman" w:hAnsi="Times New Roman" w:eastAsia="楷体_GB2312" w:cs="楷体_GB2312"/>
          <w:color w:val="auto"/>
          <w:sz w:val="32"/>
          <w:szCs w:val="32"/>
        </w:rPr>
        <w:t>监督保障</w:t>
      </w:r>
    </w:p>
    <w:p w14:paraId="7742D5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一是将政务公开工作纳入年度2025年度区政府目标管理绩效考核体系，严格落实政务公开重点工作任务安排，落实责任人；二是加强培训指导，开展业务培训提升行动，创新举办“禹你共学·会公开”业务轮训小课堂，围绕省市检查、专项测评以及日常检查问题清单，全年共开展培训6期。2025年，主动接受社会评议，未发生政府信息公开责任事件，未产生公开责任追究结果。</w:t>
      </w:r>
    </w:p>
    <w:p w14:paraId="69BD93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二、主动公开政府信息情况</w:t>
      </w:r>
    </w:p>
    <w:tbl>
      <w:tblPr>
        <w:tblStyle w:val="9"/>
        <w:tblpPr w:leftFromText="180" w:rightFromText="180" w:vertAnchor="text" w:horzAnchor="page" w:tblpXSpec="center" w:tblpY="294"/>
        <w:tblOverlap w:val="never"/>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26"/>
        <w:gridCol w:w="2126"/>
        <w:gridCol w:w="2126"/>
        <w:gridCol w:w="2126"/>
      </w:tblGrid>
      <w:tr w14:paraId="4729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D342F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第二十条第（一）项</w:t>
            </w:r>
          </w:p>
        </w:tc>
      </w:tr>
      <w:tr w14:paraId="1077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F27D7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D499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本年制发件数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68BC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94D7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现行有效件数</w:t>
            </w:r>
          </w:p>
        </w:tc>
      </w:tr>
      <w:tr w14:paraId="2ADD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6F933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640F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rPr>
            </w:pPr>
            <w:r>
              <w:rPr>
                <w:rFonts w:hint="eastAsia" w:ascii="Times New Roman" w:hAnsi="Times New Roman" w:eastAsia="宋体" w:cs="宋体"/>
                <w:color w:val="auto"/>
                <w:sz w:val="32"/>
                <w:szCs w:val="32"/>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4FBB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rPr>
            </w:pPr>
            <w:r>
              <w:rPr>
                <w:rFonts w:hint="eastAsia" w:ascii="Times New Roman" w:hAnsi="Times New Roman" w:eastAsia="宋体" w:cs="宋体"/>
                <w:color w:val="auto"/>
                <w:sz w:val="32"/>
                <w:szCs w:val="32"/>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4674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rPr>
            </w:pPr>
            <w:r>
              <w:rPr>
                <w:rFonts w:hint="eastAsia" w:ascii="Times New Roman" w:hAnsi="Times New Roman" w:eastAsia="宋体" w:cs="宋体"/>
                <w:color w:val="auto"/>
                <w:sz w:val="32"/>
                <w:szCs w:val="32"/>
              </w:rPr>
              <w:t>0</w:t>
            </w:r>
          </w:p>
        </w:tc>
      </w:tr>
      <w:tr w14:paraId="19A0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8"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B4230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7173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744D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lang w:val="en-US" w:eastAsia="zh-CN"/>
              </w:rPr>
              <w:t>1</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6897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lang w:val="en-US" w:eastAsia="zh-CN"/>
              </w:rPr>
            </w:pPr>
            <w:r>
              <w:rPr>
                <w:rFonts w:hint="eastAsia" w:ascii="Times New Roman" w:hAnsi="Times New Roman" w:eastAsia="宋体" w:cs="宋体"/>
                <w:color w:val="auto"/>
                <w:sz w:val="32"/>
                <w:szCs w:val="32"/>
                <w:lang w:val="en-US" w:eastAsia="zh-CN"/>
              </w:rPr>
              <w:t>13</w:t>
            </w:r>
          </w:p>
        </w:tc>
      </w:tr>
      <w:tr w14:paraId="0E98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355B9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第二十条第（五）项</w:t>
            </w:r>
          </w:p>
        </w:tc>
      </w:tr>
      <w:tr w14:paraId="5E3B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B0FE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FDA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本年处理决定数量</w:t>
            </w:r>
          </w:p>
        </w:tc>
      </w:tr>
      <w:tr w14:paraId="1237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F9E3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4E31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21"/>
                <w:szCs w:val="21"/>
                <w:lang w:val="en-US" w:eastAsia="zh-CN"/>
              </w:rPr>
            </w:pPr>
            <w:r>
              <w:rPr>
                <w:rFonts w:hint="eastAsia" w:ascii="Times New Roman" w:hAnsi="Times New Roman" w:eastAsia="宋体" w:cs="宋体"/>
                <w:color w:val="auto"/>
                <w:sz w:val="32"/>
                <w:szCs w:val="32"/>
                <w:lang w:val="en-US" w:eastAsia="zh-CN"/>
              </w:rPr>
              <w:t>2251</w:t>
            </w:r>
          </w:p>
        </w:tc>
      </w:tr>
      <w:tr w14:paraId="6653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9E341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第二十条第（六）项</w:t>
            </w:r>
          </w:p>
        </w:tc>
      </w:tr>
      <w:tr w14:paraId="0584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3A202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EB96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本年处理决定数量</w:t>
            </w:r>
          </w:p>
        </w:tc>
      </w:tr>
      <w:tr w14:paraId="14D4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93202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8FBA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lang w:val="en-US" w:eastAsia="zh-CN"/>
              </w:rPr>
            </w:pPr>
            <w:r>
              <w:rPr>
                <w:rFonts w:hint="eastAsia" w:ascii="Times New Roman" w:hAnsi="Times New Roman" w:eastAsia="宋体" w:cs="宋体"/>
                <w:color w:val="auto"/>
                <w:sz w:val="32"/>
                <w:szCs w:val="32"/>
                <w:lang w:val="en-US" w:eastAsia="zh-CN"/>
              </w:rPr>
              <w:t>434</w:t>
            </w:r>
          </w:p>
        </w:tc>
      </w:tr>
      <w:tr w14:paraId="644F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84568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794C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宋体"/>
                <w:color w:val="auto"/>
                <w:sz w:val="32"/>
                <w:szCs w:val="32"/>
                <w:lang w:val="en-US" w:eastAsia="zh-CN"/>
              </w:rPr>
            </w:pPr>
            <w:r>
              <w:rPr>
                <w:rFonts w:hint="eastAsia" w:ascii="Times New Roman" w:hAnsi="Times New Roman" w:eastAsia="宋体" w:cs="宋体"/>
                <w:color w:val="auto"/>
                <w:sz w:val="32"/>
                <w:szCs w:val="32"/>
                <w:lang w:val="en-US" w:eastAsia="zh-CN"/>
              </w:rPr>
              <w:t>41</w:t>
            </w:r>
          </w:p>
        </w:tc>
      </w:tr>
      <w:tr w14:paraId="0CC6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CACA8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第二十条第（八）项</w:t>
            </w:r>
          </w:p>
        </w:tc>
      </w:tr>
      <w:tr w14:paraId="0127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73635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0B432E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本年收费金额（单位：万元）</w:t>
            </w:r>
          </w:p>
        </w:tc>
      </w:tr>
      <w:tr w14:paraId="4859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3"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AB8F1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63B4E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21"/>
                <w:szCs w:val="21"/>
                <w:lang w:val="en-US" w:eastAsia="zh-CN"/>
              </w:rPr>
            </w:pPr>
            <w:r>
              <w:rPr>
                <w:rFonts w:hint="eastAsia" w:ascii="Times New Roman" w:hAnsi="Times New Roman" w:eastAsia="宋体" w:cs="宋体"/>
                <w:color w:val="auto"/>
                <w:sz w:val="32"/>
                <w:szCs w:val="32"/>
                <w:lang w:val="en-US" w:eastAsia="zh-CN"/>
              </w:rPr>
              <w:t>3431</w:t>
            </w:r>
          </w:p>
        </w:tc>
      </w:tr>
    </w:tbl>
    <w:p w14:paraId="7FE84C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Calibri"/>
          <w:i w:val="0"/>
          <w:iCs w:val="0"/>
          <w:caps w:val="0"/>
          <w:color w:val="auto"/>
          <w:spacing w:val="0"/>
          <w:sz w:val="24"/>
          <w:szCs w:val="24"/>
        </w:rPr>
      </w:pPr>
    </w:p>
    <w:p w14:paraId="457909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Calibri"/>
          <w:i w:val="0"/>
          <w:iCs w:val="0"/>
          <w:caps w:val="0"/>
          <w:color w:val="auto"/>
          <w:spacing w:val="0"/>
          <w:sz w:val="21"/>
          <w:szCs w:val="21"/>
        </w:rPr>
      </w:pPr>
      <w:r>
        <w:rPr>
          <w:rFonts w:hint="default" w:ascii="Times New Roman" w:hAnsi="Times New Roman" w:cs="Calibri"/>
          <w:i w:val="0"/>
          <w:iCs w:val="0"/>
          <w:caps w:val="0"/>
          <w:color w:val="auto"/>
          <w:spacing w:val="0"/>
          <w:sz w:val="21"/>
          <w:szCs w:val="21"/>
          <w:shd w:val="clear" w:fill="FFFFFF"/>
        </w:rPr>
        <w:t> </w:t>
      </w:r>
    </w:p>
    <w:p w14:paraId="0639FA5E">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eastAsia" w:ascii="Times New Roman" w:hAnsi="Times New Roman" w:eastAsia="黑体" w:cs="黑体"/>
          <w:b w:val="0"/>
          <w:bCs w:val="0"/>
          <w:i w:val="0"/>
          <w:iCs w:val="0"/>
          <w:caps w:val="0"/>
          <w:color w:val="auto"/>
          <w:spacing w:val="0"/>
          <w:sz w:val="32"/>
          <w:szCs w:val="32"/>
          <w:shd w:val="clear" w:fill="FFFFFF"/>
        </w:rPr>
      </w:pPr>
      <w:r>
        <w:rPr>
          <w:rFonts w:hint="eastAsia" w:ascii="Times New Roman" w:hAnsi="Times New Roman" w:eastAsia="黑体" w:cs="黑体"/>
          <w:b w:val="0"/>
          <w:bCs w:val="0"/>
          <w:i w:val="0"/>
          <w:iCs w:val="0"/>
          <w:caps w:val="0"/>
          <w:color w:val="auto"/>
          <w:spacing w:val="0"/>
          <w:sz w:val="32"/>
          <w:szCs w:val="32"/>
          <w:shd w:val="clear" w:fill="FFFFFF"/>
        </w:rPr>
        <w:t>收到和处理政府信息公开申请情况</w:t>
      </w:r>
    </w:p>
    <w:tbl>
      <w:tblPr>
        <w:tblStyle w:val="9"/>
        <w:tblpPr w:leftFromText="180" w:rightFromText="180" w:vertAnchor="text" w:horzAnchor="page" w:tblpXSpec="center" w:tblpY="288"/>
        <w:tblOverlap w:val="never"/>
        <w:tblW w:w="85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4"/>
        <w:gridCol w:w="1074"/>
        <w:gridCol w:w="2559"/>
        <w:gridCol w:w="500"/>
        <w:gridCol w:w="601"/>
        <w:gridCol w:w="601"/>
        <w:gridCol w:w="601"/>
        <w:gridCol w:w="601"/>
        <w:gridCol w:w="604"/>
        <w:gridCol w:w="609"/>
      </w:tblGrid>
      <w:tr w14:paraId="3BFB93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4387"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F05F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（本列数据的勾稽关系为：第一项加第二项之和，等于第三项加第四项之和）</w:t>
            </w:r>
          </w:p>
        </w:tc>
        <w:tc>
          <w:tcPr>
            <w:tcW w:w="41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8330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申请人情况</w:t>
            </w:r>
          </w:p>
        </w:tc>
      </w:tr>
      <w:tr w14:paraId="6CCAF2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438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21BF28F3">
            <w:pPr>
              <w:rPr>
                <w:rFonts w:hint="default" w:ascii="Times New Roman" w:hAnsi="Times New Roman" w:cs="Times New Roman"/>
                <w:color w:val="auto"/>
                <w:sz w:val="20"/>
                <w:szCs w:val="20"/>
              </w:rPr>
            </w:pPr>
          </w:p>
        </w:tc>
        <w:tc>
          <w:tcPr>
            <w:tcW w:w="500"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0A81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自然人</w:t>
            </w:r>
          </w:p>
        </w:tc>
        <w:tc>
          <w:tcPr>
            <w:tcW w:w="3008"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369B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法人或其他组织</w:t>
            </w:r>
          </w:p>
        </w:tc>
        <w:tc>
          <w:tcPr>
            <w:tcW w:w="60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D62E3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总计</w:t>
            </w:r>
          </w:p>
        </w:tc>
      </w:tr>
      <w:tr w14:paraId="3AAF23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98" w:hRule="atLeast"/>
          <w:jc w:val="center"/>
        </w:trPr>
        <w:tc>
          <w:tcPr>
            <w:tcW w:w="438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2993249">
            <w:pPr>
              <w:rPr>
                <w:rFonts w:hint="default" w:ascii="Times New Roman" w:hAnsi="Times New Roman" w:cs="Times New Roman"/>
                <w:color w:val="auto"/>
                <w:sz w:val="20"/>
                <w:szCs w:val="20"/>
              </w:rPr>
            </w:pPr>
          </w:p>
        </w:tc>
        <w:tc>
          <w:tcPr>
            <w:tcW w:w="500"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F3DDF1">
            <w:pPr>
              <w:rPr>
                <w:rFonts w:hint="default" w:ascii="Times New Roman" w:hAnsi="Times New Roman" w:cs="Times New Roman"/>
                <w:color w:val="auto"/>
                <w:sz w:val="20"/>
                <w:szCs w:val="20"/>
              </w:rPr>
            </w:pP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B409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商业</w:t>
            </w:r>
          </w:p>
          <w:p w14:paraId="7594DD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企业</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D336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科研</w:t>
            </w:r>
          </w:p>
          <w:p w14:paraId="0DDCB7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机构</w:t>
            </w:r>
          </w:p>
        </w:tc>
        <w:tc>
          <w:tcPr>
            <w:tcW w:w="60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3AF5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社会公益组织</w:t>
            </w:r>
          </w:p>
        </w:tc>
        <w:tc>
          <w:tcPr>
            <w:tcW w:w="601"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D637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法律服务机构</w:t>
            </w:r>
          </w:p>
        </w:tc>
        <w:tc>
          <w:tcPr>
            <w:tcW w:w="60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2E5F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其他</w:t>
            </w:r>
          </w:p>
        </w:tc>
        <w:tc>
          <w:tcPr>
            <w:tcW w:w="60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01EDF1B">
            <w:pPr>
              <w:rPr>
                <w:rFonts w:hint="default" w:ascii="Times New Roman" w:hAnsi="Times New Roman" w:cs="Times New Roman"/>
                <w:color w:val="auto"/>
                <w:sz w:val="20"/>
                <w:szCs w:val="20"/>
              </w:rPr>
            </w:pPr>
          </w:p>
        </w:tc>
      </w:tr>
      <w:tr w14:paraId="61348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4" w:hRule="atLeast"/>
          <w:jc w:val="center"/>
        </w:trPr>
        <w:tc>
          <w:tcPr>
            <w:tcW w:w="4387"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33635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一、本年新收政府信息公开申请数量</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6D9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63</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C6E3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1</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64D5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DA3E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5E07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C5BF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2289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64</w:t>
            </w:r>
          </w:p>
        </w:tc>
      </w:tr>
      <w:tr w14:paraId="2B6879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4" w:hRule="atLeast"/>
          <w:jc w:val="center"/>
        </w:trPr>
        <w:tc>
          <w:tcPr>
            <w:tcW w:w="4387"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F3258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二、上年结转政府信息公开申请数量</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5138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2F26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CD31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2199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E181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D927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0BBC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r>
      <w:tr w14:paraId="7BE401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754"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FC9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三、本年度办理结果</w:t>
            </w:r>
          </w:p>
        </w:tc>
        <w:tc>
          <w:tcPr>
            <w:tcW w:w="363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5DE3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（一）予以公开</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BF7E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23</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4FB1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1</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E4ED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A4B9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0793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1768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25B8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24</w:t>
            </w:r>
          </w:p>
        </w:tc>
      </w:tr>
      <w:tr w14:paraId="5F6359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7C79807">
            <w:pPr>
              <w:rPr>
                <w:rFonts w:hint="default" w:ascii="Times New Roman" w:hAnsi="Times New Roman" w:cs="Times New Roman"/>
                <w:color w:val="auto"/>
                <w:sz w:val="20"/>
                <w:szCs w:val="20"/>
              </w:rPr>
            </w:pPr>
          </w:p>
        </w:tc>
        <w:tc>
          <w:tcPr>
            <w:tcW w:w="363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CAD1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（二）部分公开（区分处理的，只计这一情形，不计其他情形）</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2B4B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20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4D0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3C98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8068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4204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7DAA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7625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20</w:t>
            </w:r>
          </w:p>
        </w:tc>
      </w:tr>
      <w:tr w14:paraId="48691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24D4D7">
            <w:pPr>
              <w:rPr>
                <w:rFonts w:hint="default" w:ascii="Times New Roman" w:hAnsi="Times New Roman" w:cs="Times New Roman"/>
                <w:color w:val="auto"/>
                <w:sz w:val="20"/>
                <w:szCs w:val="20"/>
              </w:rPr>
            </w:pPr>
          </w:p>
        </w:tc>
        <w:tc>
          <w:tcPr>
            <w:tcW w:w="107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7240B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（三）不予公开</w:t>
            </w: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3E863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1.属于国家秘密</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935A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1FE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166D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2D8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5335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AF5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A143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r>
      <w:tr w14:paraId="7232A7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8DEB095">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D002969">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016F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2.其他法律行政法规禁止公开</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E678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2F1B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BE38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0581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96E8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4B8B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D601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r>
      <w:tr w14:paraId="7C70E7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C3AAE09">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836A998">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ACA9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3.危及“三安全一稳定”</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FA6D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2</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A784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4C3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56AF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48A5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5F0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D753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2</w:t>
            </w:r>
          </w:p>
        </w:tc>
      </w:tr>
      <w:tr w14:paraId="38E9FF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8ED0C52">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E0F5ABA">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A92D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4.保护第三方合法权益</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938B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660D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7FC1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23E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6F8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925A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49FF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Calibri"/>
                <w:color w:val="auto"/>
                <w:sz w:val="32"/>
                <w:szCs w:val="32"/>
                <w:lang w:val="en-US" w:eastAsia="zh-CN"/>
              </w:rPr>
            </w:pPr>
            <w:r>
              <w:rPr>
                <w:rFonts w:hint="eastAsia" w:ascii="Times New Roman" w:hAnsi="Times New Roman" w:eastAsia="宋体" w:cs="Calibri"/>
                <w:color w:val="auto"/>
                <w:sz w:val="32"/>
                <w:szCs w:val="32"/>
                <w:lang w:val="en-US" w:eastAsia="zh-CN"/>
              </w:rPr>
              <w:t>0</w:t>
            </w:r>
          </w:p>
        </w:tc>
      </w:tr>
      <w:tr w14:paraId="7E7DF9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43A3837">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8C3D3B5">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8EBE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5.属于三类内部事务信息</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66D6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7</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8A4E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5709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3C65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5B1C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0028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AB60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7</w:t>
            </w:r>
          </w:p>
        </w:tc>
      </w:tr>
      <w:tr w14:paraId="0349A5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A52244A">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2190EB">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9163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6.属于四类过程性信息</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1BBD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2</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E6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29F8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94E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93C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2BA9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56EF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2</w:t>
            </w:r>
          </w:p>
        </w:tc>
      </w:tr>
      <w:tr w14:paraId="4720D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BF29A78">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AA8477F">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2FEED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7.属于行政执法案卷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B438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4F3D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E756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525C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6FEF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ADC2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F96D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109AE0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CFB7B87">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A67AF15">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FF80A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8.属于行政查询事项</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FFB1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D953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164F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CA98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DEC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8DA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B59E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252F9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788595F">
            <w:pPr>
              <w:rPr>
                <w:rFonts w:hint="default" w:ascii="Times New Roman" w:hAnsi="Times New Roman" w:cs="Times New Roman"/>
                <w:color w:val="auto"/>
                <w:sz w:val="20"/>
                <w:szCs w:val="20"/>
              </w:rPr>
            </w:pPr>
          </w:p>
        </w:tc>
        <w:tc>
          <w:tcPr>
            <w:tcW w:w="107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A8B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（四）无法提供</w:t>
            </w: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D498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1.本机关不掌握相关政府信息</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A402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6</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C901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9D7D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B0AD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310D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5E57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1AF7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6</w:t>
            </w:r>
          </w:p>
        </w:tc>
      </w:tr>
      <w:tr w14:paraId="44BD10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CC3262F">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CAA334E">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9207A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2.没有现成信息需要另行制作</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CEFC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03D7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1E1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8F09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6DAD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856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C69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40042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4DCE537">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8000C34">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C0EB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3.补正后申请内容仍不明确</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32C4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BF7A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1EF0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EFE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309A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2EFB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F3D4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3B0AB9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135CB77">
            <w:pPr>
              <w:rPr>
                <w:rFonts w:hint="default" w:ascii="Times New Roman" w:hAnsi="Times New Roman" w:cs="Times New Roman"/>
                <w:color w:val="auto"/>
                <w:sz w:val="20"/>
                <w:szCs w:val="20"/>
              </w:rPr>
            </w:pPr>
          </w:p>
        </w:tc>
        <w:tc>
          <w:tcPr>
            <w:tcW w:w="107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A177F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（五）不予处理</w:t>
            </w: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C57B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1.信访举报投诉类申请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C025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AA0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2DAD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D628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A4C4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405C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F5DA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79264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187E61F">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E83416F">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B2787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2.重复申请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9197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3</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E7D2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0217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37E7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B6AD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649D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D0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3</w:t>
            </w:r>
          </w:p>
        </w:tc>
      </w:tr>
      <w:tr w14:paraId="553B8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7630F89">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06A91C">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871A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3.要求提供公开出版物</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23FC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B9E3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E43F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9488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826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2BD8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7D34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6FFA28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9"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A06262">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01F0362">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C2CBD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4.无正当理由大量反复申请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D168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B68A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3C39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3240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3254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0E18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CA79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265BBE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EBA3CF3">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6B49D9A">
            <w:pPr>
              <w:rPr>
                <w:rFonts w:hint="default" w:ascii="Times New Roman" w:hAnsi="Times New Roman" w:cs="Times New Roman"/>
                <w:color w:val="auto"/>
                <w:sz w:val="20"/>
                <w:szCs w:val="20"/>
              </w:rPr>
            </w:pPr>
          </w:p>
        </w:tc>
        <w:tc>
          <w:tcPr>
            <w:tcW w:w="255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66B66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Calibri"/>
                <w:color w:val="auto"/>
                <w:sz w:val="21"/>
                <w:szCs w:val="21"/>
              </w:rPr>
            </w:pPr>
            <w:r>
              <w:rPr>
                <w:rFonts w:hint="eastAsia" w:ascii="Times New Roman" w:hAnsi="Times New Roman" w:eastAsia="宋体" w:cs="宋体"/>
                <w:color w:val="auto"/>
                <w:sz w:val="32"/>
                <w:szCs w:val="32"/>
              </w:rPr>
              <w:t>5.要求行政机关确认或重新出具已获取信息</w:t>
            </w:r>
          </w:p>
        </w:tc>
        <w:tc>
          <w:tcPr>
            <w:tcW w:w="50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5FAF3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C76C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4C7BA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4618A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64D24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171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74B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6654A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8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2EB2E23">
            <w:pPr>
              <w:rPr>
                <w:rFonts w:hint="default" w:ascii="Times New Roman" w:hAnsi="Times New Roman" w:cs="Times New Roman"/>
                <w:color w:val="auto"/>
                <w:sz w:val="20"/>
                <w:szCs w:val="20"/>
              </w:rPr>
            </w:pPr>
          </w:p>
        </w:tc>
        <w:tc>
          <w:tcPr>
            <w:tcW w:w="107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FCAD8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（六）其他处理</w:t>
            </w: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A48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Calibri"/>
                <w:color w:val="auto"/>
                <w:sz w:val="21"/>
                <w:szCs w:val="21"/>
              </w:rPr>
            </w:pPr>
            <w:r>
              <w:rPr>
                <w:rFonts w:hint="eastAsia" w:ascii="Times New Roman" w:hAnsi="Times New Roman" w:eastAsia="宋体" w:cs="宋体"/>
                <w:color w:val="auto"/>
                <w:sz w:val="32"/>
                <w:szCs w:val="32"/>
              </w:rPr>
              <w:t>1.申请人无正当理由逾期不补正、行政机关不再处理其政府信息公开申请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0F5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35CC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06B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1412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78DA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3498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DCFC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r>
      <w:tr w14:paraId="4F4981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4"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D069EFA">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F89A24D">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25CD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Calibri"/>
                <w:color w:val="auto"/>
                <w:sz w:val="21"/>
                <w:szCs w:val="21"/>
              </w:rPr>
            </w:pPr>
            <w:r>
              <w:rPr>
                <w:rFonts w:hint="eastAsia" w:ascii="Times New Roman" w:hAnsi="Times New Roman" w:eastAsia="宋体" w:cs="宋体"/>
                <w:color w:val="auto"/>
                <w:sz w:val="32"/>
                <w:szCs w:val="32"/>
              </w:rPr>
              <w:t>2.申请人逾期未按收费通知要求缴纳费用、行政机关不再处理其政府信息公开申请</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DD3F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367A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1F1F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67FC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FEB8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79BC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41DE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0</w:t>
            </w:r>
          </w:p>
        </w:tc>
      </w:tr>
      <w:tr w14:paraId="5B93C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04599">
            <w:pPr>
              <w:rPr>
                <w:rFonts w:hint="default" w:ascii="Times New Roman" w:hAnsi="Times New Roman" w:cs="Times New Roman"/>
                <w:color w:val="auto"/>
                <w:sz w:val="20"/>
                <w:szCs w:val="20"/>
              </w:rPr>
            </w:pPr>
          </w:p>
        </w:tc>
        <w:tc>
          <w:tcPr>
            <w:tcW w:w="107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D3D80D">
            <w:pPr>
              <w:rPr>
                <w:rFonts w:hint="default" w:ascii="Times New Roman" w:hAnsi="Times New Roman" w:cs="Times New Roman"/>
                <w:color w:val="auto"/>
                <w:sz w:val="20"/>
                <w:szCs w:val="20"/>
              </w:rPr>
            </w:pPr>
          </w:p>
        </w:tc>
        <w:tc>
          <w:tcPr>
            <w:tcW w:w="255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D0D3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3.其他</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E370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eastAsia="zh-CN"/>
              </w:rPr>
            </w:pPr>
            <w:r>
              <w:rPr>
                <w:rFonts w:hint="eastAsia" w:ascii="Times New Roman" w:hAnsi="Times New Roman" w:eastAsia="宋体"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6A8A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CAAA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63DD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A033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B068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648A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eastAsia="zh-CN"/>
              </w:rPr>
            </w:pPr>
            <w:r>
              <w:rPr>
                <w:rFonts w:hint="eastAsia" w:ascii="Times New Roman" w:hAnsi="Times New Roman" w:eastAsia="宋体" w:cs="Calibri"/>
                <w:color w:val="auto"/>
                <w:sz w:val="32"/>
                <w:szCs w:val="32"/>
                <w:lang w:val="en-US" w:eastAsia="zh-CN"/>
              </w:rPr>
              <w:t>0</w:t>
            </w:r>
          </w:p>
        </w:tc>
      </w:tr>
      <w:tr w14:paraId="0F44FB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75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095649F">
            <w:pPr>
              <w:rPr>
                <w:rFonts w:hint="default" w:ascii="Times New Roman" w:hAnsi="Times New Roman" w:cs="Times New Roman"/>
                <w:color w:val="auto"/>
                <w:sz w:val="20"/>
                <w:szCs w:val="20"/>
              </w:rPr>
            </w:pPr>
          </w:p>
        </w:tc>
        <w:tc>
          <w:tcPr>
            <w:tcW w:w="363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D971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（七）总计</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511E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63</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84A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1</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6FB1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507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0700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D26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cs="Calibri"/>
                <w:color w:val="auto"/>
                <w:sz w:val="32"/>
                <w:szCs w:val="32"/>
                <w:lang w:val="en-US" w:eastAsia="zh-CN"/>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A720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eastAsiaTheme="minorEastAsia"/>
                <w:color w:val="auto"/>
                <w:sz w:val="32"/>
                <w:szCs w:val="32"/>
                <w:lang w:val="en-US" w:eastAsia="zh-CN"/>
              </w:rPr>
            </w:pPr>
            <w:r>
              <w:rPr>
                <w:rFonts w:hint="eastAsia" w:ascii="Times New Roman" w:hAnsi="Times New Roman" w:cs="Calibri"/>
                <w:color w:val="auto"/>
                <w:sz w:val="32"/>
                <w:szCs w:val="32"/>
                <w:lang w:val="en-US" w:eastAsia="zh-CN"/>
              </w:rPr>
              <w:t>64</w:t>
            </w:r>
          </w:p>
        </w:tc>
      </w:tr>
      <w:tr w14:paraId="11AB9B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6" w:hRule="atLeast"/>
          <w:jc w:val="center"/>
        </w:trPr>
        <w:tc>
          <w:tcPr>
            <w:tcW w:w="4387"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FDDD6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四、结转下年度继续办理</w:t>
            </w:r>
          </w:p>
        </w:tc>
        <w:tc>
          <w:tcPr>
            <w:tcW w:w="50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1F6F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eastAsia="zh-CN"/>
              </w:rPr>
            </w:pPr>
            <w:r>
              <w:rPr>
                <w:rFonts w:hint="eastAsia" w:ascii="Times New Roman" w:hAnsi="Times New Roman" w:eastAsia="宋体" w:cs="Calibri"/>
                <w:color w:val="auto"/>
                <w:sz w:val="32"/>
                <w:szCs w:val="32"/>
                <w:lang w:val="en-US" w:eastAsia="zh-CN"/>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52AA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588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855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AD67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069D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Calibri"/>
                <w:color w:val="auto"/>
                <w:sz w:val="32"/>
                <w:szCs w:val="32"/>
              </w:rPr>
            </w:pPr>
            <w:r>
              <w:rPr>
                <w:rFonts w:hint="default" w:ascii="Times New Roman" w:hAnsi="Times New Roman" w:eastAsia="宋体" w:cs="Calibri"/>
                <w:color w:val="auto"/>
                <w:sz w:val="32"/>
                <w:szCs w:val="32"/>
              </w:rPr>
              <w:t>0</w:t>
            </w:r>
          </w:p>
        </w:tc>
        <w:tc>
          <w:tcPr>
            <w:tcW w:w="6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4390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Calibri" w:eastAsiaTheme="minorEastAsia"/>
                <w:color w:val="auto"/>
                <w:sz w:val="32"/>
                <w:szCs w:val="32"/>
                <w:lang w:eastAsia="zh-CN"/>
              </w:rPr>
            </w:pPr>
            <w:r>
              <w:rPr>
                <w:rFonts w:hint="eastAsia" w:ascii="Times New Roman" w:hAnsi="Times New Roman" w:eastAsia="宋体" w:cs="宋体"/>
                <w:color w:val="auto"/>
                <w:sz w:val="32"/>
                <w:szCs w:val="32"/>
                <w:lang w:val="en-US" w:eastAsia="zh-CN"/>
              </w:rPr>
              <w:t>0</w:t>
            </w:r>
          </w:p>
        </w:tc>
      </w:tr>
    </w:tbl>
    <w:p w14:paraId="37B232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cs="Calibri"/>
          <w:i w:val="0"/>
          <w:iCs w:val="0"/>
          <w:caps w:val="0"/>
          <w:color w:val="auto"/>
          <w:spacing w:val="0"/>
          <w:sz w:val="21"/>
          <w:szCs w:val="21"/>
        </w:rPr>
      </w:pPr>
    </w:p>
    <w:p w14:paraId="0D65A8B7">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Times New Roman" w:hAnsi="Times New Roman" w:eastAsia="黑体" w:cs="黑体"/>
          <w:b w:val="0"/>
          <w:bCs w:val="0"/>
          <w:i w:val="0"/>
          <w:iCs w:val="0"/>
          <w:caps w:val="0"/>
          <w:color w:val="auto"/>
          <w:spacing w:val="0"/>
          <w:sz w:val="32"/>
          <w:szCs w:val="32"/>
          <w:shd w:val="clear" w:fill="FFFFFF"/>
        </w:rPr>
      </w:pPr>
      <w:r>
        <w:rPr>
          <w:rFonts w:hint="eastAsia" w:ascii="Times New Roman" w:hAnsi="Times New Roman" w:eastAsia="黑体" w:cs="黑体"/>
          <w:b w:val="0"/>
          <w:bCs w:val="0"/>
          <w:i w:val="0"/>
          <w:iCs w:val="0"/>
          <w:caps w:val="0"/>
          <w:color w:val="auto"/>
          <w:spacing w:val="0"/>
          <w:sz w:val="32"/>
          <w:szCs w:val="32"/>
          <w:shd w:val="clear" w:fill="FFFFFF"/>
        </w:rPr>
        <w:t>政府信息公开行政复议、行政诉讼情况</w:t>
      </w:r>
    </w:p>
    <w:tbl>
      <w:tblPr>
        <w:tblStyle w:val="9"/>
        <w:tblpPr w:leftFromText="180" w:rightFromText="180" w:vertAnchor="text" w:horzAnchor="page" w:tblpXSpec="center" w:tblpY="301"/>
        <w:tblOverlap w:val="never"/>
        <w:tblW w:w="85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566"/>
        <w:gridCol w:w="566"/>
        <w:gridCol w:w="566"/>
        <w:gridCol w:w="569"/>
        <w:gridCol w:w="566"/>
        <w:gridCol w:w="566"/>
        <w:gridCol w:w="567"/>
        <w:gridCol w:w="567"/>
        <w:gridCol w:w="569"/>
        <w:gridCol w:w="567"/>
        <w:gridCol w:w="567"/>
        <w:gridCol w:w="567"/>
        <w:gridCol w:w="567"/>
        <w:gridCol w:w="569"/>
      </w:tblGrid>
      <w:tr w14:paraId="260A01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283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B31F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行政复议</w:t>
            </w:r>
          </w:p>
        </w:tc>
        <w:tc>
          <w:tcPr>
            <w:tcW w:w="5672"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022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行政诉讼</w:t>
            </w:r>
          </w:p>
        </w:tc>
      </w:tr>
      <w:tr w14:paraId="4810C5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5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35B5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结果维持</w:t>
            </w:r>
          </w:p>
        </w:tc>
        <w:tc>
          <w:tcPr>
            <w:tcW w:w="5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635D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结果</w:t>
            </w:r>
          </w:p>
          <w:p w14:paraId="44F1E2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纠正</w:t>
            </w:r>
          </w:p>
        </w:tc>
        <w:tc>
          <w:tcPr>
            <w:tcW w:w="56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645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其他</w:t>
            </w:r>
          </w:p>
          <w:p w14:paraId="615D14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结果</w:t>
            </w:r>
          </w:p>
        </w:tc>
        <w:tc>
          <w:tcPr>
            <w:tcW w:w="56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9E8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尚未</w:t>
            </w:r>
          </w:p>
          <w:p w14:paraId="20BAA3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审结</w:t>
            </w:r>
          </w:p>
        </w:tc>
        <w:tc>
          <w:tcPr>
            <w:tcW w:w="56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EC4A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总计</w:t>
            </w:r>
          </w:p>
        </w:tc>
        <w:tc>
          <w:tcPr>
            <w:tcW w:w="283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39C3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未经复议直接起诉</w:t>
            </w:r>
          </w:p>
        </w:tc>
        <w:tc>
          <w:tcPr>
            <w:tcW w:w="283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7214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复议后起诉</w:t>
            </w:r>
          </w:p>
        </w:tc>
      </w:tr>
      <w:tr w14:paraId="2B448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87" w:hRule="atLeast"/>
          <w:jc w:val="center"/>
        </w:trPr>
        <w:tc>
          <w:tcPr>
            <w:tcW w:w="5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8D3BDB">
            <w:pPr>
              <w:rPr>
                <w:rFonts w:hint="default" w:ascii="Times New Roman" w:hAnsi="Times New Roman" w:cs="Times New Roman"/>
                <w:color w:val="auto"/>
                <w:sz w:val="20"/>
                <w:szCs w:val="20"/>
              </w:rPr>
            </w:pPr>
          </w:p>
        </w:tc>
        <w:tc>
          <w:tcPr>
            <w:tcW w:w="5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C31422">
            <w:pPr>
              <w:rPr>
                <w:rFonts w:hint="default" w:ascii="Times New Roman" w:hAnsi="Times New Roman" w:cs="Times New Roman"/>
                <w:color w:val="auto"/>
                <w:sz w:val="20"/>
                <w:szCs w:val="20"/>
              </w:rPr>
            </w:pPr>
          </w:p>
        </w:tc>
        <w:tc>
          <w:tcPr>
            <w:tcW w:w="56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9A113F">
            <w:pPr>
              <w:rPr>
                <w:rFonts w:hint="default" w:ascii="Times New Roman" w:hAnsi="Times New Roman" w:cs="Times New Roman"/>
                <w:color w:val="auto"/>
                <w:sz w:val="20"/>
                <w:szCs w:val="20"/>
              </w:rPr>
            </w:pPr>
          </w:p>
        </w:tc>
        <w:tc>
          <w:tcPr>
            <w:tcW w:w="56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178AEB">
            <w:pPr>
              <w:rPr>
                <w:rFonts w:hint="default" w:ascii="Times New Roman" w:hAnsi="Times New Roman" w:cs="Times New Roman"/>
                <w:color w:val="auto"/>
                <w:sz w:val="20"/>
                <w:szCs w:val="20"/>
              </w:rPr>
            </w:pPr>
          </w:p>
        </w:tc>
        <w:tc>
          <w:tcPr>
            <w:tcW w:w="56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D1E833">
            <w:pPr>
              <w:rPr>
                <w:rFonts w:hint="default" w:ascii="Times New Roman" w:hAnsi="Times New Roman" w:cs="Times New Roman"/>
                <w:color w:val="auto"/>
                <w:sz w:val="20"/>
                <w:szCs w:val="20"/>
              </w:rPr>
            </w:pP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0669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结果</w:t>
            </w:r>
          </w:p>
          <w:p w14:paraId="73ED33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维持</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D7D7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结果</w:t>
            </w:r>
          </w:p>
          <w:p w14:paraId="4BD1C2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E50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其他</w:t>
            </w:r>
          </w:p>
          <w:p w14:paraId="400277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EB9E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尚未</w:t>
            </w:r>
          </w:p>
          <w:p w14:paraId="2E9261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审结</w:t>
            </w:r>
          </w:p>
        </w:tc>
        <w:tc>
          <w:tcPr>
            <w:tcW w:w="5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EB1B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总计</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F120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结果</w:t>
            </w:r>
          </w:p>
          <w:p w14:paraId="3540CE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维持</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01F4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结果</w:t>
            </w:r>
          </w:p>
          <w:p w14:paraId="16605E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40A6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其他</w:t>
            </w:r>
          </w:p>
          <w:p w14:paraId="2D687B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4D04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imes New Roman" w:hAnsi="Times New Roman" w:eastAsia="宋体" w:cs="宋体"/>
                <w:color w:val="auto"/>
                <w:sz w:val="32"/>
                <w:szCs w:val="32"/>
                <w:lang w:eastAsia="zh-CN"/>
              </w:rPr>
            </w:pPr>
            <w:r>
              <w:rPr>
                <w:rFonts w:hint="eastAsia" w:ascii="Times New Roman" w:hAnsi="Times New Roman" w:eastAsia="宋体" w:cs="宋体"/>
                <w:color w:val="auto"/>
                <w:sz w:val="32"/>
                <w:szCs w:val="32"/>
              </w:rPr>
              <w:t>尚未</w:t>
            </w:r>
          </w:p>
          <w:p w14:paraId="0C8006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审结</w:t>
            </w:r>
          </w:p>
        </w:tc>
        <w:tc>
          <w:tcPr>
            <w:tcW w:w="5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30C3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Calibri"/>
                <w:color w:val="auto"/>
                <w:sz w:val="21"/>
                <w:szCs w:val="21"/>
              </w:rPr>
            </w:pPr>
            <w:r>
              <w:rPr>
                <w:rFonts w:hint="eastAsia" w:ascii="Times New Roman" w:hAnsi="Times New Roman" w:eastAsia="宋体" w:cs="宋体"/>
                <w:color w:val="auto"/>
                <w:sz w:val="32"/>
                <w:szCs w:val="32"/>
              </w:rPr>
              <w:t>总计</w:t>
            </w:r>
          </w:p>
        </w:tc>
      </w:tr>
      <w:tr w14:paraId="177E11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8" w:hRule="atLeast"/>
          <w:jc w:val="center"/>
        </w:trPr>
        <w:tc>
          <w:tcPr>
            <w:tcW w:w="5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36C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0</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0669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3</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E8ED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1</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18A5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674D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eastAsia="宋体" w:cs="Calibri"/>
                <w:color w:val="auto"/>
                <w:sz w:val="32"/>
                <w:szCs w:val="32"/>
                <w:lang w:val="en-US" w:eastAsia="zh-CN"/>
              </w:rPr>
              <w:t>4</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F92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3898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FE5C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2A7B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B0AD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B962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28A0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eastAsia="宋体" w:cs="宋体"/>
                <w:color w:val="auto"/>
                <w:sz w:val="32"/>
                <w:szCs w:val="32"/>
                <w:lang w:val="en-US" w:eastAsia="zh-CN"/>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6BEF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5FF2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default" w:ascii="Times New Roman" w:hAnsi="Times New Roman" w:eastAsia="宋体" w:cs="Calibri"/>
                <w:color w:val="auto"/>
                <w:sz w:val="32"/>
                <w:szCs w:val="32"/>
              </w:rPr>
              <w:t>0</w:t>
            </w:r>
          </w:p>
        </w:tc>
        <w:tc>
          <w:tcPr>
            <w:tcW w:w="5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47D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Calibri" w:eastAsiaTheme="minorEastAsia"/>
                <w:color w:val="auto"/>
                <w:kern w:val="0"/>
                <w:sz w:val="32"/>
                <w:szCs w:val="32"/>
                <w:lang w:val="en-US" w:eastAsia="zh-CN" w:bidi="ar"/>
              </w:rPr>
            </w:pPr>
            <w:r>
              <w:rPr>
                <w:rFonts w:hint="eastAsia" w:ascii="Times New Roman" w:hAnsi="Times New Roman" w:eastAsia="宋体" w:cs="宋体"/>
                <w:color w:val="auto"/>
                <w:sz w:val="32"/>
                <w:szCs w:val="32"/>
                <w:lang w:val="en-US" w:eastAsia="zh-CN"/>
              </w:rPr>
              <w:t>0</w:t>
            </w:r>
          </w:p>
        </w:tc>
      </w:tr>
    </w:tbl>
    <w:p w14:paraId="711C85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Calibri"/>
          <w:i w:val="0"/>
          <w:iCs w:val="0"/>
          <w:caps w:val="0"/>
          <w:color w:val="auto"/>
          <w:spacing w:val="0"/>
          <w:sz w:val="21"/>
          <w:szCs w:val="21"/>
        </w:rPr>
      </w:pPr>
      <w:r>
        <w:rPr>
          <w:rFonts w:hint="default" w:ascii="Times New Roman" w:hAnsi="Times New Roman" w:cs="Calibri"/>
          <w:i w:val="0"/>
          <w:iCs w:val="0"/>
          <w:caps w:val="0"/>
          <w:color w:val="auto"/>
          <w:spacing w:val="0"/>
          <w:sz w:val="21"/>
          <w:szCs w:val="21"/>
          <w:shd w:val="clear" w:fill="FFFFFF"/>
        </w:rPr>
        <w:t> </w:t>
      </w:r>
    </w:p>
    <w:p w14:paraId="4051FB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Calibri"/>
          <w:i w:val="0"/>
          <w:iCs w:val="0"/>
          <w:caps w:val="0"/>
          <w:color w:val="auto"/>
          <w:spacing w:val="0"/>
          <w:sz w:val="21"/>
          <w:szCs w:val="21"/>
        </w:rPr>
      </w:pPr>
    </w:p>
    <w:p w14:paraId="466A8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黑体"/>
          <w:b w:val="0"/>
          <w:bCs w:val="0"/>
          <w:i w:val="0"/>
          <w:iCs w:val="0"/>
          <w:caps w:val="0"/>
          <w:color w:val="auto"/>
          <w:spacing w:val="0"/>
          <w:sz w:val="32"/>
          <w:szCs w:val="32"/>
          <w:shd w:val="clear" w:fill="FFFFFF"/>
        </w:rPr>
      </w:pPr>
      <w:r>
        <w:rPr>
          <w:rFonts w:hint="eastAsia" w:ascii="Times New Roman" w:hAnsi="Times New Roman" w:eastAsia="黑体" w:cs="黑体"/>
          <w:b w:val="0"/>
          <w:bCs w:val="0"/>
          <w:i w:val="0"/>
          <w:iCs w:val="0"/>
          <w:caps w:val="0"/>
          <w:color w:val="auto"/>
          <w:spacing w:val="0"/>
          <w:sz w:val="32"/>
          <w:szCs w:val="32"/>
          <w:shd w:val="clear" w:fill="FFFFFF"/>
        </w:rPr>
        <w:t>五、存在的主要问题及改进情况</w:t>
      </w:r>
    </w:p>
    <w:p w14:paraId="7A2424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存在的主要问题：</w:t>
      </w:r>
    </w:p>
    <w:p w14:paraId="690EFF1F">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一是</w:t>
      </w:r>
      <w:r>
        <w:rPr>
          <w:rFonts w:hint="eastAsia" w:ascii="Times New Roman" w:hAnsi="Times New Roman" w:eastAsia="方正仿宋_GBK" w:cs="方正仿宋_GBK"/>
          <w:color w:val="auto"/>
          <w:sz w:val="32"/>
          <w:szCs w:val="32"/>
        </w:rPr>
        <w:t>政策解读形式较单一。本年度我区政策解读以文字形式为主，多样化解读形式的比例不足，导致公众对政策信息的接受度和可理解度降低。</w:t>
      </w:r>
      <w:r>
        <w:rPr>
          <w:rFonts w:hint="eastAsia" w:ascii="Times New Roman" w:hAnsi="Times New Roman" w:eastAsia="方正仿宋_GBK" w:cs="方正仿宋_GBK"/>
          <w:color w:val="auto"/>
          <w:sz w:val="32"/>
          <w:szCs w:val="32"/>
          <w:lang w:val="en-US" w:eastAsia="zh-CN"/>
        </w:rPr>
        <w:t>二是部分单位主动公开意识弱。未严格按照时间节点发布信息，存在信息发布滞后、内容更新不及时等问题。</w:t>
      </w:r>
    </w:p>
    <w:p w14:paraId="10C070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楷体" w:cs="楷体"/>
          <w:color w:val="auto"/>
          <w:sz w:val="32"/>
          <w:szCs w:val="32"/>
          <w:lang w:eastAsia="zh-CN"/>
        </w:rPr>
      </w:pPr>
      <w:r>
        <w:rPr>
          <w:rFonts w:hint="eastAsia" w:ascii="Times New Roman" w:hAnsi="Times New Roman" w:eastAsia="楷体" w:cs="楷体"/>
          <w:color w:val="auto"/>
          <w:sz w:val="32"/>
          <w:szCs w:val="32"/>
          <w:lang w:eastAsia="zh-CN"/>
        </w:rPr>
        <w:t>下一步改进措施：</w:t>
      </w:r>
    </w:p>
    <w:p w14:paraId="664D833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是深化解读形式创新。持续优化政策解读形式，精心选取惠企利民类文件，扎实做好政策解读质量提升工作，加大图片、图表、媒体解读等多元化形式解读力度，制作图文图表等通俗化解读产品。积极与本地主要新闻媒体对接，转发转载政策解读，拓宽解读渠道。</w:t>
      </w:r>
    </w:p>
    <w:p w14:paraId="2AE06CB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方正仿宋_GBK"/>
          <w:color w:val="auto"/>
          <w:sz w:val="32"/>
          <w:szCs w:val="32"/>
          <w:lang w:val="zh-CN" w:eastAsia="zh-CN"/>
        </w:rPr>
      </w:pPr>
      <w:r>
        <w:rPr>
          <w:rFonts w:hint="eastAsia" w:ascii="Times New Roman" w:hAnsi="Times New Roman" w:eastAsia="方正仿宋_GBK" w:cs="方正仿宋_GBK"/>
          <w:color w:val="auto"/>
          <w:sz w:val="32"/>
          <w:szCs w:val="32"/>
          <w:lang w:val="en-US" w:eastAsia="zh-CN"/>
        </w:rPr>
        <w:t>二是加大日常工作检查力度，将重心放在重点区直部门和信息公开薄弱部门，继续开展业务轮训与现场整改相结合，通过“新人轮训”“小班教学”形式，重点关注发布质量较低的单位，做到排查问题闭环管理，切实提升全区信息发布规范化水平。</w:t>
      </w:r>
    </w:p>
    <w:p w14:paraId="7C3428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黑体"/>
          <w:b w:val="0"/>
          <w:bCs w:val="0"/>
          <w:i w:val="0"/>
          <w:iCs w:val="0"/>
          <w:caps w:val="0"/>
          <w:color w:val="auto"/>
          <w:spacing w:val="0"/>
          <w:sz w:val="32"/>
          <w:szCs w:val="32"/>
          <w:shd w:val="clear" w:fill="FFFFFF"/>
        </w:rPr>
      </w:pPr>
      <w:r>
        <w:rPr>
          <w:rFonts w:hint="eastAsia" w:ascii="Times New Roman" w:hAnsi="Times New Roman" w:eastAsia="黑体" w:cs="黑体"/>
          <w:b w:val="0"/>
          <w:bCs w:val="0"/>
          <w:i w:val="0"/>
          <w:iCs w:val="0"/>
          <w:caps w:val="0"/>
          <w:color w:val="auto"/>
          <w:spacing w:val="0"/>
          <w:sz w:val="32"/>
          <w:szCs w:val="32"/>
          <w:shd w:val="clear" w:fill="FFFFFF"/>
        </w:rPr>
        <w:t>六、其他需要报告的事项</w:t>
      </w:r>
    </w:p>
    <w:p w14:paraId="5EA803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（一）按照《国务院办公厅关于印发〈政府信息公开信息处理费管理办法〉的通知》（国办函〔2020〕109号）规定的按件、按量收费标准，本年度没有产生信息公开处理费。</w:t>
      </w:r>
    </w:p>
    <w:p w14:paraId="4AB4C7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积极回应关切，畅通意见反馈渠道。在门户网站、“禹会区人民政府发布”微信公众号开设互动交流板块，政务公开专区设立咨询投诉二维码，扫码一键直达链接。在政务服务大厅设立政策咨询窗口、“办不成事”反映窗口，专门处理企业和公众政策咨询事项和“多次跑、办不成”的疑难问题，全年办结率和满意率均达100%。</w:t>
      </w:r>
    </w:p>
    <w:p w14:paraId="75228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围绕公共参与，推进重大决策预公开。征集2026年人大票决民生实事建议等重大项目，推动公众从政策被动接受者转变为主动参与者，切实提升政策的科学性与可行性。通过线下公开意见座谈会等形式，邀请辖区企业和群众参加禹会区“十五五”规划编制专题会、政府工作报告等重要决策事项，为科学谋划禹会区未来发展蓝图奠定坚实基础。</w:t>
      </w:r>
    </w:p>
    <w:p w14:paraId="366477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开展政策宣讲进社区和政府开放日活动。将政务公开与企业走访、政策宣讲、项目申报指导等工作相结合，全年共开展“政府开放日”“政策宣讲”活动60余场。在开展“企业大走访”活动中，同步宣传政策文件、收集公开需求建议，全年累计走访企业95家，收集工作优化建议5条，针对性调整5条，推动政务公开更贴合企业和群众的实际需求。由区政府班子成员牵头，每月召开“禹您有约”政企恳谈会，邀请企业代表共商良策、共谋发展，年度举办12期。</w:t>
      </w:r>
    </w:p>
    <w:p w14:paraId="4CF8FB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Times New Roman" w:hAnsi="Times New Roman" w:eastAsia="方正仿宋_GBK" w:cs="方正仿宋_GBK"/>
          <w:color w:val="auto"/>
          <w:sz w:val="32"/>
          <w:szCs w:val="32"/>
          <w:lang w:val="en-US" w:eastAsia="zh-CN"/>
        </w:rPr>
      </w:pPr>
    </w:p>
    <w:p w14:paraId="3BEDCB13">
      <w:pPr>
        <w:pStyle w:val="7"/>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cs="仿宋_GB2312"/>
          <w:b w:val="0"/>
          <w:bCs w:val="0"/>
          <w:i w:val="0"/>
          <w:iCs w:val="0"/>
          <w:caps w:val="0"/>
          <w:color w:val="auto"/>
          <w:spacing w:val="0"/>
          <w:sz w:val="32"/>
          <w:szCs w:val="32"/>
          <w:shd w:val="clear" w:fill="FFFFFF"/>
          <w:lang w:val="en-US" w:eastAsia="zh-CN"/>
        </w:rPr>
      </w:pPr>
    </w:p>
    <w:p w14:paraId="3B6CA9F7">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i w:val="0"/>
          <w:iCs w:val="0"/>
          <w:caps w:val="0"/>
          <w:color w:val="auto"/>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0FC51"/>
    <w:multiLevelType w:val="singleLevel"/>
    <w:tmpl w:val="1640FC5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zY2Mzc4MTkyNWQ5ZTljY2E1OWYwZWYyMTZkODIifQ=="/>
  </w:docVars>
  <w:rsids>
    <w:rsidRoot w:val="00000000"/>
    <w:rsid w:val="007A6F63"/>
    <w:rsid w:val="01974741"/>
    <w:rsid w:val="01AF70E0"/>
    <w:rsid w:val="023A4BFB"/>
    <w:rsid w:val="031C69F7"/>
    <w:rsid w:val="044440E7"/>
    <w:rsid w:val="05171224"/>
    <w:rsid w:val="054221A7"/>
    <w:rsid w:val="056F1060"/>
    <w:rsid w:val="05C44291"/>
    <w:rsid w:val="06874187"/>
    <w:rsid w:val="07FD6DF7"/>
    <w:rsid w:val="080041F1"/>
    <w:rsid w:val="08314CF2"/>
    <w:rsid w:val="08624094"/>
    <w:rsid w:val="098B7897"/>
    <w:rsid w:val="0B8E420A"/>
    <w:rsid w:val="0BA13F3D"/>
    <w:rsid w:val="0BEB6F66"/>
    <w:rsid w:val="0C721436"/>
    <w:rsid w:val="0C913FB2"/>
    <w:rsid w:val="0D6D057B"/>
    <w:rsid w:val="0F3F7CF5"/>
    <w:rsid w:val="0FC24482"/>
    <w:rsid w:val="0FD77F2D"/>
    <w:rsid w:val="10060813"/>
    <w:rsid w:val="109666F5"/>
    <w:rsid w:val="10C5422A"/>
    <w:rsid w:val="134E6759"/>
    <w:rsid w:val="152359C3"/>
    <w:rsid w:val="158935B2"/>
    <w:rsid w:val="19033B41"/>
    <w:rsid w:val="19923117"/>
    <w:rsid w:val="1A123794"/>
    <w:rsid w:val="1B745C72"/>
    <w:rsid w:val="1C1823A7"/>
    <w:rsid w:val="1C2A3ADB"/>
    <w:rsid w:val="1F8D685B"/>
    <w:rsid w:val="22356D36"/>
    <w:rsid w:val="224B4D53"/>
    <w:rsid w:val="228C4BA7"/>
    <w:rsid w:val="243454F7"/>
    <w:rsid w:val="246F7B68"/>
    <w:rsid w:val="24BE74B6"/>
    <w:rsid w:val="24D171E9"/>
    <w:rsid w:val="25744626"/>
    <w:rsid w:val="25D86356"/>
    <w:rsid w:val="2A151926"/>
    <w:rsid w:val="2A996F23"/>
    <w:rsid w:val="2AF43C32"/>
    <w:rsid w:val="2D4F514F"/>
    <w:rsid w:val="2D7C1CBC"/>
    <w:rsid w:val="2DD04C09"/>
    <w:rsid w:val="2EA2647E"/>
    <w:rsid w:val="2F337C9E"/>
    <w:rsid w:val="2F407445"/>
    <w:rsid w:val="30492526"/>
    <w:rsid w:val="319E48F7"/>
    <w:rsid w:val="329758C4"/>
    <w:rsid w:val="32E12CEE"/>
    <w:rsid w:val="330469DC"/>
    <w:rsid w:val="330E33B7"/>
    <w:rsid w:val="34887D3E"/>
    <w:rsid w:val="351A24E7"/>
    <w:rsid w:val="35284C04"/>
    <w:rsid w:val="357F2070"/>
    <w:rsid w:val="35810B4A"/>
    <w:rsid w:val="35B93AAE"/>
    <w:rsid w:val="36C56482"/>
    <w:rsid w:val="37421881"/>
    <w:rsid w:val="376B0DD8"/>
    <w:rsid w:val="38163439"/>
    <w:rsid w:val="383733B0"/>
    <w:rsid w:val="38D87AB9"/>
    <w:rsid w:val="39273424"/>
    <w:rsid w:val="39301A51"/>
    <w:rsid w:val="3A1A4D37"/>
    <w:rsid w:val="3AC151B3"/>
    <w:rsid w:val="3B2B1381"/>
    <w:rsid w:val="3B76711B"/>
    <w:rsid w:val="3C125CC6"/>
    <w:rsid w:val="3D734E8A"/>
    <w:rsid w:val="3F634A8A"/>
    <w:rsid w:val="40C63523"/>
    <w:rsid w:val="41706C4C"/>
    <w:rsid w:val="42095842"/>
    <w:rsid w:val="43AA0EDA"/>
    <w:rsid w:val="43E97C54"/>
    <w:rsid w:val="44EB54E4"/>
    <w:rsid w:val="45D4223E"/>
    <w:rsid w:val="46207231"/>
    <w:rsid w:val="462E7CAD"/>
    <w:rsid w:val="465869CB"/>
    <w:rsid w:val="474927B8"/>
    <w:rsid w:val="47835CCA"/>
    <w:rsid w:val="479903C6"/>
    <w:rsid w:val="48702CE2"/>
    <w:rsid w:val="488D6137"/>
    <w:rsid w:val="48935EF3"/>
    <w:rsid w:val="497D49AA"/>
    <w:rsid w:val="4A4A0D21"/>
    <w:rsid w:val="4A934476"/>
    <w:rsid w:val="4AD14F9E"/>
    <w:rsid w:val="4B0012B8"/>
    <w:rsid w:val="4B920F18"/>
    <w:rsid w:val="4C43011D"/>
    <w:rsid w:val="4C875A4B"/>
    <w:rsid w:val="4DB43081"/>
    <w:rsid w:val="4DE84AD8"/>
    <w:rsid w:val="4E165AE9"/>
    <w:rsid w:val="4E93713A"/>
    <w:rsid w:val="4E9E5ADF"/>
    <w:rsid w:val="4ED1389A"/>
    <w:rsid w:val="4F1418FD"/>
    <w:rsid w:val="4F844CD5"/>
    <w:rsid w:val="502E62AD"/>
    <w:rsid w:val="51215792"/>
    <w:rsid w:val="52F83A10"/>
    <w:rsid w:val="536A2433"/>
    <w:rsid w:val="54110089"/>
    <w:rsid w:val="5411465D"/>
    <w:rsid w:val="541A79B6"/>
    <w:rsid w:val="54AA0818"/>
    <w:rsid w:val="557355CF"/>
    <w:rsid w:val="564156CE"/>
    <w:rsid w:val="57CF0AB7"/>
    <w:rsid w:val="57D33CC6"/>
    <w:rsid w:val="57F4758F"/>
    <w:rsid w:val="588875E4"/>
    <w:rsid w:val="59BE5287"/>
    <w:rsid w:val="59BF6AD5"/>
    <w:rsid w:val="5A494B51"/>
    <w:rsid w:val="5A8120B8"/>
    <w:rsid w:val="5AE57637"/>
    <w:rsid w:val="5B0B6ABB"/>
    <w:rsid w:val="5BAE18D3"/>
    <w:rsid w:val="5C0F1DCA"/>
    <w:rsid w:val="5CB12E81"/>
    <w:rsid w:val="5CD821BC"/>
    <w:rsid w:val="5D3C6BEF"/>
    <w:rsid w:val="5D3C7160"/>
    <w:rsid w:val="5F41229A"/>
    <w:rsid w:val="60C43183"/>
    <w:rsid w:val="626E065C"/>
    <w:rsid w:val="63C11BFC"/>
    <w:rsid w:val="64656A2B"/>
    <w:rsid w:val="66911D59"/>
    <w:rsid w:val="68B8432F"/>
    <w:rsid w:val="68CA3301"/>
    <w:rsid w:val="68D45F2D"/>
    <w:rsid w:val="69D106BF"/>
    <w:rsid w:val="6A2E3D63"/>
    <w:rsid w:val="6A8B6AC0"/>
    <w:rsid w:val="6BC229B5"/>
    <w:rsid w:val="6BCE135A"/>
    <w:rsid w:val="6D3C0545"/>
    <w:rsid w:val="6DE24C48"/>
    <w:rsid w:val="6EEF6FD9"/>
    <w:rsid w:val="72F5541E"/>
    <w:rsid w:val="73440153"/>
    <w:rsid w:val="738A079E"/>
    <w:rsid w:val="73D239B1"/>
    <w:rsid w:val="75322959"/>
    <w:rsid w:val="75D44792"/>
    <w:rsid w:val="76742003"/>
    <w:rsid w:val="77737259"/>
    <w:rsid w:val="779D5721"/>
    <w:rsid w:val="77D048EE"/>
    <w:rsid w:val="78047EB1"/>
    <w:rsid w:val="79353059"/>
    <w:rsid w:val="79711AA2"/>
    <w:rsid w:val="79FC0FE2"/>
    <w:rsid w:val="7ACA3BF4"/>
    <w:rsid w:val="7B1D5512"/>
    <w:rsid w:val="7D9A72EE"/>
    <w:rsid w:val="7E0C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ind w:left="120"/>
    </w:pPr>
    <w:rPr>
      <w:rFonts w:ascii="宋体" w:hAnsi="宋体" w:cs="宋体"/>
      <w:sz w:val="30"/>
      <w:szCs w:val="30"/>
      <w:lang w:val="zh-CN" w:bidi="zh-CN"/>
    </w:rPr>
  </w:style>
  <w:style w:type="paragraph" w:customStyle="1" w:styleId="4">
    <w:name w:val="Body Text First Indent1"/>
    <w:basedOn w:val="5"/>
    <w:qFormat/>
    <w:uiPriority w:val="99"/>
    <w:pPr>
      <w:ind w:firstLine="420" w:firstLineChars="100"/>
    </w:pPr>
  </w:style>
  <w:style w:type="paragraph" w:customStyle="1" w:styleId="5">
    <w:name w:val="正文文本1"/>
    <w:basedOn w:val="1"/>
    <w:next w:val="4"/>
    <w:qFormat/>
    <w:uiPriority w:val="0"/>
    <w:pPr>
      <w:widowControl/>
      <w:snapToGrid w:val="0"/>
      <w:spacing w:beforeLines="250"/>
      <w:jc w:val="center"/>
    </w:pPr>
    <w:rPr>
      <w:rFonts w:ascii="宋体" w:hAnsi="Arial"/>
      <w:b/>
      <w:spacing w:val="-5"/>
      <w:sz w:val="4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99"/>
    <w:pPr>
      <w:ind w:firstLine="420" w:firstLineChars="100"/>
    </w:pPr>
  </w:style>
  <w:style w:type="paragraph" w:styleId="8">
    <w:name w:val="Body Text First Indent 2"/>
    <w:qFormat/>
    <w:uiPriority w:val="0"/>
    <w:pPr>
      <w:widowControl w:val="0"/>
      <w:spacing w:after="120" w:afterLines="0" w:afterAutospacing="0"/>
      <w:ind w:left="0" w:leftChars="0" w:firstLine="420" w:firstLineChars="200"/>
      <w:jc w:val="both"/>
    </w:pPr>
    <w:rPr>
      <w:rFonts w:ascii="Times New Roman" w:hAnsi="Times New Roman" w:eastAsia="宋体" w:cs="Times New Roman"/>
      <w:kern w:val="2"/>
      <w:sz w:val="21"/>
      <w:szCs w:val="24"/>
      <w:lang w:val="en-US" w:eastAsia="zh-CN" w:bidi="ar-SA"/>
    </w:r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Emphasis"/>
    <w:basedOn w:val="10"/>
    <w:qFormat/>
    <w:uiPriority w:val="0"/>
    <w:rPr>
      <w:b/>
      <w:bCs/>
    </w:rPr>
  </w:style>
  <w:style w:type="character" w:styleId="14">
    <w:name w:val="HTML Definition"/>
    <w:basedOn w:val="10"/>
    <w:qFormat/>
    <w:uiPriority w:val="0"/>
    <w:rPr>
      <w:i/>
      <w:iCs/>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333333"/>
      <w:u w:val="none"/>
    </w:rPr>
  </w:style>
  <w:style w:type="character" w:styleId="18">
    <w:name w:val="HTML Code"/>
    <w:basedOn w:val="10"/>
    <w:qFormat/>
    <w:uiPriority w:val="0"/>
    <w:rPr>
      <w:rFonts w:hint="default" w:ascii="monospace" w:hAnsi="monospace" w:eastAsia="monospace" w:cs="monospace"/>
      <w:sz w:val="21"/>
      <w:szCs w:val="21"/>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1"/>
      <w:szCs w:val="21"/>
    </w:rPr>
  </w:style>
  <w:style w:type="character" w:styleId="21">
    <w:name w:val="HTML Sample"/>
    <w:basedOn w:val="10"/>
    <w:qFormat/>
    <w:uiPriority w:val="0"/>
    <w:rPr>
      <w:rFonts w:ascii="monospace" w:hAnsi="monospace" w:eastAsia="monospace" w:cs="monospace"/>
      <w:sz w:val="21"/>
      <w:szCs w:val="21"/>
    </w:rPr>
  </w:style>
  <w:style w:type="character" w:customStyle="1" w:styleId="22">
    <w:name w:val="tmpztreemove_arrow"/>
    <w:basedOn w:val="10"/>
    <w:qFormat/>
    <w:uiPriority w:val="0"/>
  </w:style>
  <w:style w:type="character" w:customStyle="1" w:styleId="23">
    <w:name w:val="button"/>
    <w:basedOn w:val="10"/>
    <w:qFormat/>
    <w:uiPriority w:val="0"/>
  </w:style>
  <w:style w:type="character" w:customStyle="1" w:styleId="24">
    <w:name w:val="u-btn"/>
    <w:basedOn w:val="10"/>
    <w:qFormat/>
    <w:uiPriority w:val="0"/>
  </w:style>
  <w:style w:type="character" w:customStyle="1" w:styleId="25">
    <w:name w:val="layui-layer-tabnow"/>
    <w:basedOn w:val="10"/>
    <w:qFormat/>
    <w:uiPriority w:val="0"/>
    <w:rPr>
      <w:bdr w:val="single" w:color="CCCCCC" w:sz="4" w:space="0"/>
      <w:shd w:val="clear" w:fill="FFFFFF"/>
    </w:rPr>
  </w:style>
  <w:style w:type="character" w:customStyle="1" w:styleId="26">
    <w:name w:val="first-child"/>
    <w:basedOn w:val="10"/>
    <w:qFormat/>
    <w:uiPriority w:val="0"/>
  </w:style>
  <w:style w:type="character" w:customStyle="1" w:styleId="27">
    <w:name w:val="z-open"/>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2056</Words>
  <Characters>2157</Characters>
  <Lines>0</Lines>
  <Paragraphs>0</Paragraphs>
  <TotalTime>18</TotalTime>
  <ScaleCrop>false</ScaleCrop>
  <LinksUpToDate>false</LinksUpToDate>
  <CharactersWithSpaces>2159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2023-01-18T03:08:00Z</dcterms:created>
  <dc:creator>Administrator</dc:creator>
  <cp:lastModifiedBy>lhy</cp:lastModifiedBy>
  <cp:lastPrinted>2026-02-03T01:52:00Z</cp:lastPrinted>
  <dcterms:modified xsi:type="dcterms:W3CDTF">2026-02-12T07:41:32Z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86F1EBB7EE7D4A9AB217AB5CDE72AC9E</vt:lpwstr>
  </property>
  <property fmtid="{D5CDD505-2E9C-101B-9397-08002B2CF9AE}" pid="4" name="KSOTemplateDocerSaveRecord">
    <vt:lpwstr>eyJoZGlkIjoiNDkyOTE5ZjYyZmM1OTFmYjhkMzdhYTBjMGUyOGVmOTYiLCJ1c2VySWQiOiIyODAzOTIwNTQifQ==</vt:lpwstr>
  </property>
</Properties>
</file>