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92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禹会区数据资源管理局关于2025年法治政府建设情况的报告​</w:t>
      </w:r>
    </w:p>
    <w:p w14:paraId="72927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BFEA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区委、区人民政府：​</w:t>
      </w:r>
    </w:p>
    <w:p w14:paraId="5A942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一、2025年法治政府建设的主要举措和成效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​</w:t>
      </w:r>
    </w:p>
    <w:p w14:paraId="72DE9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（一）深化法治思想引领，压实法治建设责任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​</w:t>
      </w:r>
    </w:p>
    <w:p w14:paraId="3468E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构建常态化学习体系。将习近平法治思想、《法治政府建设实施纲要（2021-2025年）》及《中共蚌埠市委全面法治市委员会2025年工作要点》等作为核心学习内容，通过局例会、专题研讨、支部“三会一课”等形式开展集中学习8次，实现干部职工法治学习全覆盖。创新推出“法治+业务”融合培训模式，显著提升运用法治思维破解政务服务难题的能力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严格落实第一责任人职责。党政主要负责人带头履行法治建设领导责任，在重大决策部署、重点项目推进中同步部署法治工作，全年召开法治建设专题会议4次，及时传达落实中央、省、市、区依法行政工作要求，推动领导干部依法行政能力持续提升。​</w:t>
      </w:r>
    </w:p>
    <w:p w14:paraId="2369B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（二）聚焦数字赋能改革，优化法治化营商环境​</w:t>
      </w:r>
    </w:p>
    <w:p w14:paraId="39289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强化数字产业培育与场景创新。深化大数据企业梯度培育，指导安徽数智、蚌埠智联等4家企业通过省级大数据企业认定。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提升数据共享与政务服务效能。升级“禹快办、愉快办”服务品牌，政务服务事项平均办理时限再压缩，“一网通办”事项扩展，跨区域通办覆盖范围延伸至长三角主要城市。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深化“高效办成一件事”改革。落实国务院“全生命周期”服务要求，完成“企业开办全流程”“退休养老一件事”等22个重点事项的流程再造与发布，其中“开办餐饮店一件事”办理时限压缩至2个工作日，实现“一表申请、一套材料、一窗受理、一网办结”。推进政务服务标准化建设，完成全区政务服务事项实施清单标准化整改，要素规范率达100%。​</w:t>
      </w:r>
    </w:p>
    <w:p w14:paraId="5ACCA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（三）完善依法行政机制，规范行政决策行为​</w:t>
      </w:r>
    </w:p>
    <w:p w14:paraId="73D0C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严格执行《重大行政决策程序暂行条例》，健全“公众参与、专家论证、风险评估、合法性审查、集体讨论决定” 五步决策机制，主要负责人坚持“末位表态”制度。加强行政规范性文件全生命周期管理，开展文件清理4次，确保行政行为于法有据。建立规范性文件“事前审核、事中跟踪、事后评估”闭环监管机制，全年无违法违规文件出台。​</w:t>
      </w:r>
    </w:p>
    <w:p w14:paraId="0D081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（四）健全矛盾化解机制，提升公共服务水平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​</w:t>
      </w:r>
    </w:p>
    <w:p w14:paraId="37940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拓宽诉求响应渠道。整合“好差评”系统、线上会客厅等反馈渠道，建立“诉求收集-分流处置-结果反馈-满意度回访”全流程闭环机制，全年处理企业群众诉求满意度达99.5%。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强化法治服务供给。开展“法治进大厅”活动，在政务服务中心设立宣传栏，为办事群众提供精准普法服务，累计发放宣传资料2千余份。针对老年人、残疾人等特殊群体，保留线下服务窗口并提供“帮办代办”服务，全年服务特殊群体1000余人次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深化法治培训实效。建立“分层分类+按需施教”培训机制，组织干部职工参加法治培训4次，重点提升窗口人员、审批人员的依法行政能力，全年无行政复议、行政诉讼案件发生。​</w:t>
      </w:r>
    </w:p>
    <w:p w14:paraId="12262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（五）筑牢法治保障基础，强化安全规范管理​</w:t>
      </w:r>
    </w:p>
    <w:p w14:paraId="25ECF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推进政务服务基础设施升级，完成政务服务外网二期改造，实现区镇村三级网络全覆盖与千兆提速。健全数据安全管理制度，开展数据安全检查4次、攻防演练2次，对涉及个人信息、商业秘密的数据实行脱敏处理与加密保护，全年无数据安全事件发生。​</w:t>
      </w:r>
    </w:p>
    <w:p w14:paraId="39FF9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二、2025年法治政府建设存在的不足和原因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​</w:t>
      </w:r>
    </w:p>
    <w:p w14:paraId="54C33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法治创新实践有待深化，结合数据资源管理特色的法治应用场景不多，法治与数字改革融合的深度不够；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法治宣传精准度不足，针对企业、群众不同需求的个性化普法内容较少，宣传形式仍需丰富；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跨部门协同法治化水平有待提升，部分“一件事”改革中部门间数据共享、流程衔接的制度保障不够健全；四是基层法治人才队伍建设滞后，窗口工作人员法治专业能力与新形势下政务服务要求仍有差距。​</w:t>
      </w:r>
    </w:p>
    <w:p w14:paraId="29611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三、2026 年推进法治政府建设的主要安排​</w:t>
      </w:r>
    </w:p>
    <w:p w14:paraId="58C0D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（一）深化法治思想引领，筑牢法治建设根基​</w:t>
      </w:r>
    </w:p>
    <w:p w14:paraId="1577D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构建长效学习机制。将习近平法治思想学习纳入干部教育培训必修课，计划开展集中学习，推动法治思维入脑入心。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强化普法精准供给。围绕大数据管理、政务服务、数据安全等重点领域，利用政务服务大厅LED屏、皖事通APP、微信公众号等载体，开展普法宣传。​</w:t>
      </w:r>
    </w:p>
    <w:p w14:paraId="50B11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（二）深化政务服务改革，提升法治化服务水平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​</w:t>
      </w:r>
    </w:p>
    <w:p w14:paraId="4E011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推动高效办成一件事”提质扩面。落实国务院“全生命周期”服务要求，新增“育儿一件事”“企业投资建设一件事”等22个重点事项，探索“一类事”集成服务，推动惠企政策“免申即享”。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提升政务服务标准化规范化水平。对照国家政务服务事项基本目录，实现事项名称、编码、依据等要素精准度百分之百，推进高频事项全国无差别受理、同标准办理。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优化便民服务举措。扩大“跨省通办”“省内通办”范围，实现更多事项“就近办、随时办”；深化“皖事通”“皖企通”推广应用，力争提升掌上办率。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深化综合窗口改革。全面推行“前台综合受理、后台分类审批、综合窗口出件”服务模式，梳理高频事项纳入综合窗口管理，升级改造政务服务大厅硬件设施，实现“一窗通办”全覆盖。​</w:t>
      </w:r>
    </w:p>
    <w:p w14:paraId="393DD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（三）深化数据要素改革，健全法治保障体系​</w:t>
      </w:r>
    </w:p>
    <w:p w14:paraId="22868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强化数据治理法治化。规范数据归集、共享、开放等全流程管理，保障数据安全有序流动。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培育数字法治应用场景。依托人工智能大模型，开发智能审批、智能帮办、智能普法等服务功能，推动“法治+数字”深度融合。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加大大数据企业培育力度。培育省级大数据企业，指导企业合规经营，推动数字产业与法治建设协同发展。​</w:t>
      </w:r>
    </w:p>
    <w:p w14:paraId="2D15B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（四）强化协同监管效能，健全法治监督机制​</w:t>
      </w:r>
    </w:p>
    <w:p w14:paraId="11CE3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完善跨部门协同制度。制定“一件事”改革部门协同工作规则，明确数据共享、流程衔接、责任划分等要求，破解部门协同壁垒。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健全权力监督体系。完善重大行政决策全过程记录与档案管理，扩大公众参与渠道，邀请人大代表、政协委员、企业群众代表参与决策监督，确保行政权力依法规范运行。</w:t>
      </w:r>
    </w:p>
    <w:p w14:paraId="0772B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四、其他需要报告的情况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​</w:t>
      </w:r>
    </w:p>
    <w:p w14:paraId="03F5A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无。</w:t>
      </w:r>
      <w:bookmarkStart w:id="0" w:name="_GoBack"/>
      <w:bookmarkEnd w:id="0"/>
    </w:p>
    <w:p w14:paraId="2BF00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2DCA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禹会区数据资源管理局​</w:t>
      </w:r>
    </w:p>
    <w:p w14:paraId="1019B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 2026年2月27日​</w:t>
      </w:r>
    </w:p>
    <w:p w14:paraId="1AE8B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5A4F08-F948-464C-9384-F8A267000BD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A30E44C-E93E-4FFC-BE42-B03C5497CD7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BB6C126-598E-4815-B8D1-99DFD235551B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1D542A9-1967-4CF5-9100-364603BA48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701C0"/>
    <w:rsid w:val="0B7F5EE4"/>
    <w:rsid w:val="35A9479B"/>
    <w:rsid w:val="41C96A88"/>
    <w:rsid w:val="41D27F65"/>
    <w:rsid w:val="4CE4720A"/>
    <w:rsid w:val="4FF526A0"/>
    <w:rsid w:val="579739BE"/>
    <w:rsid w:val="63BF3A13"/>
    <w:rsid w:val="6D9972A1"/>
    <w:rsid w:val="71877B1D"/>
    <w:rsid w:val="7A3C594D"/>
    <w:rsid w:val="7C43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2322</Words>
  <Characters>2365</Characters>
  <Lines>0</Lines>
  <Paragraphs>0</Paragraphs>
  <TotalTime>34</TotalTime>
  <ScaleCrop>false</ScaleCrop>
  <LinksUpToDate>false</LinksUpToDate>
  <CharactersWithSpaces>2367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2026-02-11T01:36:00Z</dcterms:created>
  <dc:creator>Administrator</dc:creator>
  <cp:lastModifiedBy>Yikamushimei1</cp:lastModifiedBy>
  <dcterms:modified xsi:type="dcterms:W3CDTF">2026-03-02T01:32:11Z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eyJoZGlkIjoiOTA1ZmFmZmQ3MmRiMDUwZjQxOTdhZDZiZjNiMGE2MWMiLCJ1c2VySWQiOiI1MDU0MjYwNzEifQ==</vt:lpwstr>
  </property>
  <property fmtid="{D5CDD505-2E9C-101B-9397-08002B2CF9AE}" pid="4" name="ICV">
    <vt:lpwstr>34A51CCE8DEB45A5B6DE41A8286F04EB_12</vt:lpwstr>
  </property>
</Properties>
</file>