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5324D">
      <w:pPr>
        <w:spacing w:line="560" w:lineRule="exact"/>
        <w:jc w:val="center"/>
        <w:outlineLvl w:val="0"/>
        <w:rPr>
          <w:rFonts w:ascii="方正小标宋简体" w:hAnsi="方正小标宋简体" w:eastAsia="方正小标宋简体" w:cs="方正小标宋简体"/>
          <w:sz w:val="44"/>
          <w:szCs w:val="44"/>
        </w:rPr>
      </w:pPr>
      <w:bookmarkStart w:id="0" w:name="_Toc76683363"/>
      <w:bookmarkStart w:id="1" w:name="_Toc27865"/>
      <w:r>
        <w:rPr>
          <w:rFonts w:hint="eastAsia" w:ascii="方正小标宋简体" w:hAnsi="方正小标宋简体" w:eastAsia="方正小标宋简体" w:cs="方正小标宋简体"/>
          <w:bCs/>
          <w:sz w:val="44"/>
          <w:szCs w:val="44"/>
          <w:u w:val="none"/>
        </w:rPr>
        <w:t>禹会区</w:t>
      </w:r>
      <w:r>
        <w:rPr>
          <w:rFonts w:hint="eastAsia" w:ascii="方正小标宋简体" w:hAnsi="方正小标宋简体" w:eastAsia="方正小标宋简体" w:cs="方正小标宋简体"/>
          <w:bCs/>
          <w:sz w:val="44"/>
          <w:szCs w:val="44"/>
        </w:rPr>
        <w:t>市场监督管理局</w:t>
      </w:r>
      <w:bookmarkEnd w:id="0"/>
      <w:bookmarkEnd w:id="1"/>
    </w:p>
    <w:p w14:paraId="56335760">
      <w:pPr>
        <w:spacing w:line="560" w:lineRule="exact"/>
        <w:jc w:val="center"/>
        <w:outlineLvl w:val="0"/>
        <w:rPr>
          <w:rFonts w:ascii="Times New Roman" w:hAnsi="Times New Roman" w:eastAsia="方正小标宋简体" w:cs="Mongolian Baiti"/>
          <w:bCs/>
          <w:color w:val="000000"/>
          <w:sz w:val="44"/>
          <w:szCs w:val="44"/>
        </w:rPr>
      </w:pPr>
      <w:bookmarkStart w:id="2" w:name="_Toc76683364"/>
      <w:r>
        <w:rPr>
          <w:rFonts w:ascii="Times New Roman" w:hAnsi="Mongolian Baiti" w:eastAsia="方正小标宋简体" w:cs="Mongolian Baiti"/>
          <w:bCs/>
          <w:color w:val="000000"/>
          <w:sz w:val="44"/>
          <w:szCs w:val="44"/>
        </w:rPr>
        <w:t>行政处罚决定书</w:t>
      </w:r>
      <w:bookmarkEnd w:id="2"/>
    </w:p>
    <w:p w14:paraId="2347BB32">
      <w:pPr>
        <w:widowControl/>
        <w:snapToGrid w:val="0"/>
        <w:spacing w:line="560" w:lineRule="exact"/>
        <w:ind w:right="55"/>
        <w:jc w:val="center"/>
        <w:outlineLvl w:val="1"/>
        <w:rPr>
          <w:rFonts w:ascii="Times New Roman" w:hAnsi="仿宋_GB2312" w:eastAsia="仿宋_GB2312" w:cs="仿宋_GB2312"/>
          <w:bCs/>
          <w:color w:val="000000"/>
          <w:sz w:val="32"/>
          <w:szCs w:val="32"/>
        </w:rPr>
      </w:pPr>
      <w:r>
        <w:rPr>
          <w:rFonts w:hint="eastAsia" w:ascii="仿宋_GB2312" w:hAnsi="仿宋_GB2312" w:eastAsia="仿宋_GB2312" w:cs="仿宋_GB2312"/>
          <w:bCs/>
          <w:sz w:val="32"/>
          <w:szCs w:val="32"/>
          <w:lang w:val="en-US" w:eastAsia="zh-CN"/>
        </w:rPr>
        <w:t xml:space="preserve"> 禹市监处罚〔2026〕137号</w:t>
      </w:r>
    </w:p>
    <w:p w14:paraId="619DFF15">
      <w:pPr>
        <w:widowControl/>
        <w:snapToGrid w:val="0"/>
        <w:spacing w:line="520" w:lineRule="exact"/>
        <w:ind w:right="55" w:firstLine="5440" w:firstLineChars="1700"/>
        <w:rPr>
          <w:rFonts w:ascii="Times New Roman" w:hAnsi="Times New Roman" w:eastAsia="仿宋_GB2312" w:cs="Mongolian Baiti"/>
          <w:color w:val="000000"/>
          <w:sz w:val="32"/>
          <w:szCs w:val="32"/>
        </w:rPr>
      </w:pPr>
      <w:r>
        <w:rPr>
          <w:rFonts w:ascii="Times New Roman" w:hAnsi="Times New Roman" w:eastAsia="仿宋_GB2312" w:cs="Mongolian Baiti"/>
          <w:color w:val="000000"/>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3" name="直接箭头连接符 3"/>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a:effectLst/>
                      </wps:spPr>
                      <wps:txbx>
                        <w:txbxContent>
                          <w:p w14:paraId="68B31483">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&#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grLW/1gAAAAwBAAAPAAAAAAAAAAEAIAAAACIAAABk&#10;cnMvZG93bnJldi54bWxQSwECFAAUAAAACACHTuJAwDcF1AgCAAAGBAAADgAAAAAAAAABACAAAAAl&#10;AQAAZHJzL2Uyb0RvYy54bWxQSwUGAAAAAAYABgBZAQAAnwUAAAAA&#10;">
                <v:fill on="f" focussize="0,0"/>
                <v:stroke weight="1.5pt" color="#000000" joinstyle="round"/>
                <v:imagedata o:title=""/>
                <o:lock v:ext="edit" aspectratio="f"/>
                <v:textbox>
                  <w:txbxContent>
                    <w:p w14:paraId="68B31483">
                      <w:pPr>
                        <w:wordWrap w:val="0"/>
                        <w:rPr>
                          <w:rFonts w:ascii="宋体" w:hAnsi="宋体"/>
                          <w:sz w:val="20"/>
                          <w:szCs w:val="20"/>
                        </w:rPr>
                      </w:pPr>
                    </w:p>
                  </w:txbxContent>
                </v:textbox>
              </v:shape>
            </w:pict>
          </mc:Fallback>
        </mc:AlternateContent>
      </w:r>
    </w:p>
    <w:p w14:paraId="30166C61">
      <w:pPr>
        <w:keepNext w:val="0"/>
        <w:keepLines w:val="0"/>
        <w:pageBreakBefore w:val="0"/>
        <w:kinsoku/>
        <w:wordWrap/>
        <w:overflowPunct/>
        <w:topLinePunct w:val="0"/>
        <w:bidi w:val="0"/>
        <w:snapToGrid/>
        <w:spacing w:line="240" w:lineRule="auto"/>
        <w:ind w:left="140" w:hanging="140"/>
        <w:textAlignment w:val="auto"/>
        <w:rPr>
          <w:rFonts w:ascii="Times New Roman" w:hAnsi="Times New Roman" w:eastAsia="仿宋_GB2312" w:cs="Mongolian Baiti"/>
          <w:bCs/>
          <w:sz w:val="32"/>
          <w:szCs w:val="32"/>
        </w:rPr>
      </w:pPr>
      <w:r>
        <w:rPr>
          <w:rFonts w:hint="eastAsia" w:ascii="Times New Roman" w:hAnsi="Times New Roman" w:eastAsia="仿宋_GB2312" w:cs="Mongolian Baiti"/>
          <w:bCs/>
          <w:kern w:val="1"/>
          <w:sz w:val="32"/>
          <w:szCs w:val="32"/>
        </w:rPr>
        <w:t>当事人：</w:t>
      </w:r>
      <w:r>
        <w:rPr>
          <w:rFonts w:hint="eastAsia" w:ascii="Times New Roman" w:hAnsi="Times New Roman" w:eastAsia="仿宋_GB2312" w:cs="Mongolian Baiti"/>
          <w:bCs/>
          <w:kern w:val="1"/>
          <w:sz w:val="32"/>
          <w:szCs w:val="32"/>
          <w:u w:val="none"/>
          <w:lang w:eastAsia="zh-CN"/>
        </w:rPr>
        <w:t>蚌埠市禹会区小玲食品店</w:t>
      </w:r>
      <w:r>
        <w:rPr>
          <w:rFonts w:hint="eastAsia" w:ascii="Times New Roman" w:hAnsi="Times New Roman" w:eastAsia="仿宋_GB2312" w:cs="Mongolian Baiti"/>
          <w:bCs/>
          <w:kern w:val="1"/>
          <w:sz w:val="32"/>
          <w:szCs w:val="32"/>
          <w:u w:val="none"/>
        </w:rPr>
        <w:t xml:space="preserve"> </w:t>
      </w:r>
      <w:r>
        <w:rPr>
          <w:rFonts w:hint="eastAsia" w:ascii="仿宋_GB2312" w:hAnsi="Times New Roman" w:eastAsia="仿宋_GB2312"/>
          <w:sz w:val="32"/>
          <w:szCs w:val="32"/>
          <w:u w:val="none"/>
        </w:rPr>
        <w:t xml:space="preserve">                                    </w:t>
      </w:r>
      <w:r>
        <w:rPr>
          <w:rFonts w:hint="eastAsia" w:ascii="仿宋_GB2312" w:hAnsi="Times New Roman" w:eastAsia="仿宋_GB2312"/>
          <w:sz w:val="32"/>
          <w:szCs w:val="32"/>
          <w:u w:val="single"/>
        </w:rPr>
        <w:t xml:space="preserve">   </w:t>
      </w:r>
      <w:r>
        <w:rPr>
          <w:rFonts w:hint="eastAsia" w:ascii="Times New Roman" w:hAnsi="Times New Roman" w:eastAsia="仿宋_GB2312" w:cs="Mongolian Baiti"/>
          <w:kern w:val="1"/>
          <w:sz w:val="32"/>
          <w:szCs w:val="32"/>
          <w:u w:val="single"/>
        </w:rPr>
        <w:t xml:space="preserve">   </w:t>
      </w:r>
    </w:p>
    <w:p w14:paraId="6ACC1B94">
      <w:pPr>
        <w:keepNext w:val="0"/>
        <w:keepLines w:val="0"/>
        <w:pageBreakBefore w:val="0"/>
        <w:widowControl/>
        <w:suppressLineNumbers w:val="0"/>
        <w:kinsoku/>
        <w:overflowPunct/>
        <w:topLinePunct w:val="0"/>
        <w:bidi w:val="0"/>
        <w:spacing w:line="240" w:lineRule="auto"/>
        <w:jc w:val="left"/>
        <w:textAlignment w:val="auto"/>
        <w:rPr>
          <w:rFonts w:hint="eastAsia" w:ascii="仿宋_GB2312" w:hAnsi="仿宋_GB2312" w:eastAsia="仿宋_GB2312" w:cs="仿宋_GB2312"/>
          <w:bCs/>
          <w:sz w:val="32"/>
          <w:szCs w:val="32"/>
          <w:lang w:eastAsia="zh-CN"/>
        </w:rPr>
      </w:pPr>
      <w:r>
        <w:rPr>
          <w:rFonts w:hint="eastAsia" w:ascii="Times New Roman" w:hAnsi="Times New Roman" w:eastAsia="仿宋_GB2312" w:cs="微软雅黑"/>
          <w:bCs/>
          <w:kern w:val="1"/>
          <w:sz w:val="32"/>
          <w:szCs w:val="32"/>
        </w:rPr>
        <w:t>主体资格证照</w:t>
      </w:r>
      <w:r>
        <w:rPr>
          <w:rFonts w:hint="eastAsia" w:ascii="Times New Roman" w:hAnsi="Times New Roman" w:eastAsia="仿宋_GB2312" w:cs="Mongolian Baiti"/>
          <w:kern w:val="1"/>
          <w:sz w:val="32"/>
          <w:szCs w:val="32"/>
        </w:rPr>
        <w:t>名称：</w:t>
      </w:r>
      <w:r>
        <w:rPr>
          <w:rFonts w:hint="eastAsia" w:ascii="仿宋_GB2312" w:hAnsi="仿宋_GB2312" w:eastAsia="仿宋_GB2312" w:cs="仿宋_GB2312"/>
          <w:bCs/>
          <w:sz w:val="32"/>
          <w:szCs w:val="32"/>
          <w:lang w:eastAsia="zh-CN"/>
        </w:rPr>
        <w:t xml:space="preserve"> 营业执照                                   </w:t>
      </w:r>
    </w:p>
    <w:p w14:paraId="13331295">
      <w:pPr>
        <w:keepNext w:val="0"/>
        <w:keepLines w:val="0"/>
        <w:pageBreakBefore w:val="0"/>
        <w:widowControl/>
        <w:suppressLineNumbers w:val="0"/>
        <w:kinsoku/>
        <w:overflowPunct/>
        <w:topLinePunct w:val="0"/>
        <w:bidi w:val="0"/>
        <w:spacing w:line="440" w:lineRule="exact"/>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统一社会信用代码：</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92340300MA2QYWCB3D</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 xml:space="preserve">                                   </w:t>
      </w:r>
    </w:p>
    <w:p w14:paraId="5A54059C">
      <w:pPr>
        <w:keepNext w:val="0"/>
        <w:keepLines w:val="0"/>
        <w:pageBreakBefore w:val="0"/>
        <w:widowControl/>
        <w:suppressLineNumbers w:val="0"/>
        <w:kinsoku/>
        <w:overflowPunct/>
        <w:topLinePunct w:val="0"/>
        <w:bidi w:val="0"/>
        <w:spacing w:line="44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住所（住址）：</w:t>
      </w:r>
      <w:r>
        <w:rPr>
          <w:rFonts w:hint="eastAsia" w:ascii="仿宋_GB2312" w:hAnsi="仿宋_GB2312" w:eastAsia="仿宋_GB2312" w:cs="仿宋_GB2312"/>
          <w:bCs/>
          <w:sz w:val="32"/>
          <w:szCs w:val="32"/>
          <w:lang w:val="en-US" w:eastAsia="zh-CN"/>
        </w:rPr>
        <w:t xml:space="preserve">安徽省蚌埠市禹会区金厦花园10号楼2号       </w:t>
      </w:r>
    </w:p>
    <w:p w14:paraId="31C869D9">
      <w:pPr>
        <w:keepNext w:val="0"/>
        <w:keepLines w:val="0"/>
        <w:pageBreakBefore w:val="0"/>
        <w:widowControl/>
        <w:suppressLineNumbers w:val="0"/>
        <w:kinsoku/>
        <w:overflowPunct/>
        <w:topLinePunct w:val="0"/>
        <w:bidi w:val="0"/>
        <w:spacing w:line="440" w:lineRule="exact"/>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法定代表人（负责人、经营者）：于晓玲                                </w:t>
      </w:r>
    </w:p>
    <w:p w14:paraId="0E637DF0">
      <w:pPr>
        <w:keepNext w:val="0"/>
        <w:keepLines w:val="0"/>
        <w:pageBreakBefore w:val="0"/>
        <w:widowControl/>
        <w:suppressLineNumbers w:val="0"/>
        <w:kinsoku/>
        <w:overflowPunct/>
        <w:topLinePunct w:val="0"/>
        <w:bidi w:val="0"/>
        <w:spacing w:line="440" w:lineRule="exact"/>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身份证件号码：</w:t>
      </w:r>
      <w:r>
        <w:rPr>
          <w:rFonts w:hint="eastAsia" w:ascii="仿宋_GB2312" w:hAnsi="仿宋_GB2312" w:eastAsia="仿宋_GB2312" w:cs="仿宋_GB2312"/>
          <w:bCs/>
          <w:sz w:val="32"/>
          <w:szCs w:val="32"/>
          <w:lang w:val="en-US" w:eastAsia="zh-CN"/>
        </w:rPr>
        <w:t>略</w:t>
      </w:r>
      <w:r>
        <w:rPr>
          <w:rFonts w:hint="eastAsia" w:ascii="仿宋_GB2312" w:hAnsi="仿宋_GB2312" w:eastAsia="仿宋_GB2312" w:cs="仿宋_GB2312"/>
          <w:bCs/>
          <w:sz w:val="32"/>
          <w:szCs w:val="32"/>
          <w:lang w:eastAsia="zh-CN"/>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 xml:space="preserve">     </w:t>
      </w:r>
    </w:p>
    <w:p w14:paraId="7B51D7F9">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月</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日，我局执法人员对位于</w:t>
      </w:r>
      <w:r>
        <w:rPr>
          <w:rFonts w:hint="eastAsia" w:ascii="仿宋_GB2312" w:hAnsi="仿宋_GB2312" w:eastAsia="仿宋_GB2312" w:cs="仿宋_GB2312"/>
          <w:bCs/>
          <w:sz w:val="32"/>
          <w:szCs w:val="32"/>
          <w:lang w:val="en-US" w:eastAsia="zh-CN"/>
        </w:rPr>
        <w:t>禹会区金厦花园10号楼2</w:t>
      </w:r>
      <w:bookmarkStart w:id="3" w:name="_GoBack"/>
      <w:bookmarkEnd w:id="3"/>
      <w:r>
        <w:rPr>
          <w:rFonts w:hint="eastAsia" w:ascii="仿宋_GB2312" w:hAnsi="仿宋_GB2312" w:eastAsia="仿宋_GB2312" w:cs="仿宋_GB2312"/>
          <w:bCs/>
          <w:sz w:val="32"/>
          <w:szCs w:val="32"/>
          <w:lang w:val="en-US" w:eastAsia="zh-CN"/>
        </w:rPr>
        <w:t>号</w:t>
      </w:r>
      <w:r>
        <w:rPr>
          <w:rFonts w:hint="eastAsia" w:ascii="仿宋_GB2312" w:hAnsi="仿宋_GB2312" w:eastAsia="仿宋_GB2312" w:cs="仿宋_GB2312"/>
          <w:bCs/>
          <w:sz w:val="32"/>
          <w:szCs w:val="32"/>
          <w:lang w:eastAsia="zh-CN"/>
        </w:rPr>
        <w:t>的蚌埠市禹会区小玲食品店进行检查，发现当事人从事散装食品以及裱花蛋糕的制售，而当事人的食品经营许可证经营项目为散装食品和预包装食品销售（不含散装熟食销售），与实际经营项目不符。我局执法人员当场下达了责令改正通知书，责令其限期改正。当事人的行为违反了</w:t>
      </w:r>
      <w:r>
        <w:rPr>
          <w:rFonts w:hint="eastAsia" w:ascii="仿宋_GB2312" w:hAnsi="仿宋_GB2312" w:eastAsia="仿宋_GB2312" w:cs="仿宋_GB2312"/>
          <w:bCs/>
          <w:sz w:val="32"/>
          <w:szCs w:val="32"/>
          <w:lang w:val="en-US" w:eastAsia="zh-CN"/>
        </w:rPr>
        <w:t>《网络餐饮服务经营者落实食品安全主体责任监督管理规定》第二十二条第一款</w:t>
      </w:r>
      <w:r>
        <w:rPr>
          <w:rFonts w:hint="eastAsia" w:ascii="仿宋_GB2312" w:hAnsi="仿宋_GB2312" w:eastAsia="仿宋_GB2312" w:cs="仿宋_GB2312"/>
          <w:bCs/>
          <w:sz w:val="32"/>
          <w:szCs w:val="32"/>
          <w:lang w:eastAsia="zh-CN"/>
        </w:rPr>
        <w:t>的规定，涉嫌构成超范围经营的违法行为，</w:t>
      </w:r>
      <w:r>
        <w:rPr>
          <w:rFonts w:hint="eastAsia" w:ascii="仿宋_GB2312" w:hAnsi="仿宋_GB2312" w:eastAsia="仿宋_GB2312" w:cs="仿宋_GB2312"/>
          <w:bCs/>
          <w:sz w:val="32"/>
          <w:szCs w:val="32"/>
          <w:lang w:val="en-US" w:eastAsia="zh-CN"/>
        </w:rPr>
        <w:t>2026年6月3日，经局领导批准，立案调查。</w:t>
      </w:r>
      <w:r>
        <w:rPr>
          <w:rFonts w:hint="eastAsia" w:ascii="仿宋_GB2312" w:hAnsi="仿宋_GB2312" w:eastAsia="仿宋_GB2312" w:cs="仿宋_GB2312"/>
          <w:bCs/>
          <w:sz w:val="32"/>
          <w:szCs w:val="32"/>
          <w:lang w:eastAsia="zh-CN"/>
        </w:rPr>
        <w:t xml:space="preserve">                                                                </w:t>
      </w:r>
    </w:p>
    <w:p w14:paraId="78B15FF7">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经查，2026年6月3日，执法人员对当事人在美团平台经营的店铺名称：“小灵蛋糕”店，网址：“https://waimai.meituan.com”的线下经营场所进行检查，当事人从事散装食品和预包装食品以及</w:t>
      </w:r>
      <w:r>
        <w:rPr>
          <w:rFonts w:hint="eastAsia" w:ascii="仿宋_GB2312" w:hAnsi="仿宋_GB2312" w:eastAsia="仿宋_GB2312" w:cs="仿宋_GB2312"/>
          <w:bCs/>
          <w:sz w:val="32"/>
          <w:szCs w:val="32"/>
          <w:lang w:eastAsia="zh-CN"/>
        </w:rPr>
        <w:t>裱花蛋糕</w:t>
      </w:r>
      <w:r>
        <w:rPr>
          <w:rFonts w:hint="eastAsia" w:ascii="仿宋_GB2312" w:hAnsi="仿宋_GB2312" w:eastAsia="仿宋_GB2312" w:cs="仿宋_GB2312"/>
          <w:bCs/>
          <w:sz w:val="32"/>
          <w:szCs w:val="32"/>
          <w:lang w:val="en-US" w:eastAsia="zh-CN"/>
        </w:rPr>
        <w:t>的制售，仅办理了经营项目为</w:t>
      </w:r>
      <w:r>
        <w:rPr>
          <w:rFonts w:hint="eastAsia" w:ascii="仿宋_GB2312" w:hAnsi="仿宋_GB2312" w:eastAsia="仿宋_GB2312" w:cs="仿宋_GB2312"/>
          <w:bCs/>
          <w:sz w:val="32"/>
          <w:szCs w:val="32"/>
          <w:lang w:eastAsia="zh-CN"/>
        </w:rPr>
        <w:t>散装食品和预包装食品销售的食品经营许可证</w:t>
      </w:r>
      <w:r>
        <w:rPr>
          <w:rFonts w:hint="eastAsia" w:ascii="仿宋_GB2312" w:hAnsi="仿宋_GB2312" w:eastAsia="仿宋_GB2312" w:cs="仿宋_GB2312"/>
          <w:bCs/>
          <w:sz w:val="32"/>
          <w:szCs w:val="32"/>
          <w:lang w:val="en-US" w:eastAsia="zh-CN"/>
        </w:rPr>
        <w:t>，与实际经营项目不符，</w:t>
      </w:r>
      <w:r>
        <w:rPr>
          <w:rFonts w:hint="eastAsia" w:ascii="仿宋_GB2312" w:hAnsi="仿宋_GB2312" w:eastAsia="仿宋_GB2312" w:cs="仿宋_GB2312"/>
          <w:bCs/>
          <w:sz w:val="32"/>
          <w:szCs w:val="32"/>
          <w:lang w:eastAsia="zh-CN"/>
        </w:rPr>
        <w:t>而在网上小程序美团外卖商家首页公示裱花蛋糕</w:t>
      </w:r>
      <w:r>
        <w:rPr>
          <w:rFonts w:hint="eastAsia" w:ascii="仿宋_GB2312" w:hAnsi="仿宋_GB2312" w:eastAsia="仿宋_GB2312" w:cs="仿宋_GB2312"/>
          <w:bCs/>
          <w:sz w:val="32"/>
          <w:szCs w:val="32"/>
          <w:lang w:val="en-US" w:eastAsia="zh-CN"/>
        </w:rPr>
        <w:t>的制售图片</w:t>
      </w:r>
      <w:r>
        <w:rPr>
          <w:rFonts w:hint="eastAsia" w:ascii="仿宋_GB2312" w:hAnsi="仿宋_GB2312" w:eastAsia="仿宋_GB2312" w:cs="仿宋_GB2312"/>
          <w:bCs/>
          <w:sz w:val="32"/>
          <w:szCs w:val="32"/>
          <w:lang w:eastAsia="zh-CN"/>
        </w:rPr>
        <w:t>，确已超出经营范围。</w:t>
      </w:r>
      <w:r>
        <w:rPr>
          <w:rFonts w:hint="eastAsia" w:ascii="仿宋_GB2312" w:hAnsi="仿宋_GB2312" w:eastAsia="仿宋_GB2312" w:cs="仿宋_GB2312"/>
          <w:bCs/>
          <w:sz w:val="32"/>
          <w:szCs w:val="32"/>
          <w:lang w:val="en-US" w:eastAsia="zh-CN"/>
        </w:rPr>
        <w:t>食品经营许可证载明的事项发生变化的，食品经营者应当在变化后十个工作日内向原发证的市场监督管理部门申请变更食品经营许可</w:t>
      </w:r>
      <w:r>
        <w:rPr>
          <w:rFonts w:hint="eastAsia" w:ascii="仿宋_GB2312" w:hAnsi="仿宋_GB2312" w:eastAsia="仿宋_GB2312" w:cs="仿宋_GB2312"/>
          <w:bCs/>
          <w:sz w:val="32"/>
          <w:szCs w:val="32"/>
          <w:lang w:eastAsia="zh-CN"/>
        </w:rPr>
        <w:t>，当事人涉嫌构成超范围经营的违法行为。当事人反映</w:t>
      </w:r>
      <w:r>
        <w:rPr>
          <w:rFonts w:hint="eastAsia" w:ascii="仿宋_GB2312" w:hAnsi="仿宋_GB2312" w:eastAsia="仿宋_GB2312" w:cs="仿宋_GB2312"/>
          <w:bCs/>
          <w:sz w:val="32"/>
          <w:szCs w:val="32"/>
          <w:lang w:val="en-US" w:eastAsia="zh-CN"/>
        </w:rPr>
        <w:t>由于实体店生意不好，上月才增加的经营项目，直到被你们检查仅卖出一单七十八元，现该网店已闭店停业。执法人员现场仅查获用于制作裱花蛋糕的原材料，通过当事人提供的进货票据，现场原材料购进价总共六百一十元整，但当事人未建立销售台账，违法所得无法计算。</w:t>
      </w:r>
    </w:p>
    <w:p w14:paraId="485F695B">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p>
    <w:p w14:paraId="78D37C31">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p>
    <w:p w14:paraId="321661D7">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上述事实，主要有以下证据证明：</w:t>
      </w:r>
    </w:p>
    <w:p w14:paraId="5014D1D6">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1.现场检查笔录一份，证明现场检查的情况；                 </w:t>
      </w:r>
    </w:p>
    <w:p w14:paraId="61081401">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2.网店销售界面公示截图一份，证明当事人食品经营许可证信息与实际经营不符的情况；</w:t>
      </w:r>
    </w:p>
    <w:p w14:paraId="1D9D4C76">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3.当事人的身份证复印一份及该单位的营业执照复印件一份，证明当事人的主体资格及身份情况；</w:t>
      </w:r>
    </w:p>
    <w:p w14:paraId="116F1CD5">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4.当事人的询问笔录一份，证明当事人超范围经营情况；      </w:t>
      </w:r>
    </w:p>
    <w:p w14:paraId="0A72CC4A">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5.整改前照片1份，证明当事人不符合条件经营的现场照片；    </w:t>
      </w:r>
    </w:p>
    <w:p w14:paraId="66915118">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6.整改后照片1份，证明当事人已完成整改的事实。               </w:t>
      </w:r>
    </w:p>
    <w:p w14:paraId="54E92E85">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我局执法人员于202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月</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lang w:eastAsia="zh-CN"/>
        </w:rPr>
        <w:t>日向当事人送达《禹会区市场监督管理局行政处罚告知书》（禹市监罚告〔202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137</w:t>
      </w:r>
      <w:r>
        <w:rPr>
          <w:rFonts w:hint="eastAsia" w:ascii="仿宋_GB2312" w:hAnsi="仿宋_GB2312" w:eastAsia="仿宋_GB2312" w:cs="仿宋_GB2312"/>
          <w:bCs/>
          <w:sz w:val="32"/>
          <w:szCs w:val="32"/>
          <w:lang w:eastAsia="zh-CN"/>
        </w:rPr>
        <w:t>号），当事人在法定期限内未进行陈述、申辩，也未要求举行听证。</w:t>
      </w:r>
    </w:p>
    <w:p w14:paraId="43A3C4AD">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本局认为</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当事人超范围经营的行为违反了</w:t>
      </w:r>
      <w:r>
        <w:rPr>
          <w:rFonts w:hint="eastAsia" w:ascii="仿宋_GB2312" w:hAnsi="仿宋_GB2312" w:eastAsia="仿宋_GB2312" w:cs="仿宋_GB2312"/>
          <w:bCs/>
          <w:sz w:val="32"/>
          <w:szCs w:val="32"/>
          <w:lang w:val="en-US" w:eastAsia="zh-CN"/>
        </w:rPr>
        <w:t>《网络餐饮服务经营者落实食品安全主体责任监督管理规定》第二十二条第一款</w:t>
      </w:r>
      <w:r>
        <w:rPr>
          <w:rFonts w:hint="eastAsia" w:ascii="仿宋_GB2312" w:hAnsi="仿宋_GB2312" w:eastAsia="仿宋_GB2312" w:cs="仿宋_GB2312"/>
          <w:bCs/>
          <w:sz w:val="32"/>
          <w:szCs w:val="32"/>
          <w:lang w:eastAsia="zh-CN"/>
        </w:rPr>
        <w:t>的规定</w:t>
      </w:r>
      <w:r>
        <w:rPr>
          <w:rFonts w:hint="eastAsia" w:ascii="仿宋_GB2312" w:hAnsi="仿宋_GB2312" w:eastAsia="仿宋_GB2312" w:cs="仿宋_GB2312"/>
          <w:bCs/>
          <w:sz w:val="32"/>
          <w:szCs w:val="32"/>
          <w:lang w:val="en-US" w:eastAsia="zh-CN"/>
        </w:rPr>
        <w:t>，“入网餐饮服务提供者应当具有实体经营门店，依法取得食品经营许可等经营资质，并按照经营资质证书载明的主体业态、经营项目等从事经营活动，且实际经营地址应当与经营资质证书载明的经营场所保持一致。”的规定。应依据《网络餐饮服务经营者落实食品安全主体责任监督管理规定》第四十条“入网餐饮服务提供者违反本规定第二十二条第一款规定，未依法取得食品经营许可的，由县级以上地方市场监督管理部门依照《中华人民共和国食品安全法》第一百二十二条第一款的规定进行处罚。”的规定。</w:t>
      </w:r>
    </w:p>
    <w:p w14:paraId="44883D0F">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依照《中华人民共和国食品安全法》第一百二十二条第一款：“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5C3CA370">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鉴于当事人积极配合我局调查，如实陈述违法事实，违法行为持续时间较短，违法经营的食品原材料货值金额不足千元，并闭店停业及时整改。根据《中华人民共和国行政处罚法》第六条规定:“实施行政处罚，纠正违法行为，应当坚持处罚与教育相结合，教育公民、法人或者其他组织自觉守法。”按照过罚相当、处罚与教育相结合的裁量原则，依据《安徽省市场监督管理行政处罚裁量权基准》【120】第一百二十二条第一款：“处五万元以上十万元以下罚款”裁量基准的规定。“（一）符合下列情形之一的，可以减轻行政处罚，处五万元以下罚款：4.其他符合减轻处罚情形的。”以及《中华人民共和国行政处罚法》第三十二条“当事人有下列情形之一，应当从轻或者减轻行政处罚：（一）主动消除或者减轻违法行为危害后果的；”之规定，当事人及时整改并主动消除负面影响，未发生食品安全事故，也未引起较大舆情，涉案产品货值金额低，违法行为未造成危害后果，当事人违法行为轻微，符合减轻处罚的情形，决定给予减轻处罚。</w:t>
      </w:r>
    </w:p>
    <w:p w14:paraId="53ACB891">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综上，当事人上述行为违反了</w:t>
      </w:r>
      <w:r>
        <w:rPr>
          <w:rFonts w:hint="eastAsia" w:ascii="仿宋_GB2312" w:hAnsi="仿宋_GB2312" w:eastAsia="仿宋_GB2312" w:cs="仿宋_GB2312"/>
          <w:bCs/>
          <w:sz w:val="32"/>
          <w:szCs w:val="32"/>
          <w:lang w:val="en-US" w:eastAsia="zh-CN"/>
        </w:rPr>
        <w:t>《网络餐饮服务经营者落实食品安全主体责任监督管理规定》第二十二条第一款的规定</w:t>
      </w:r>
      <w:r>
        <w:rPr>
          <w:rFonts w:hint="eastAsia" w:ascii="仿宋_GB2312" w:hAnsi="仿宋_GB2312" w:eastAsia="仿宋_GB2312" w:cs="仿宋_GB2312"/>
          <w:bCs/>
          <w:sz w:val="32"/>
          <w:szCs w:val="32"/>
          <w:lang w:eastAsia="zh-CN"/>
        </w:rPr>
        <w:t>，依据</w:t>
      </w:r>
      <w:r>
        <w:rPr>
          <w:rFonts w:hint="eastAsia" w:ascii="仿宋_GB2312" w:hAnsi="仿宋_GB2312" w:eastAsia="仿宋_GB2312" w:cs="仿宋_GB2312"/>
          <w:bCs/>
          <w:sz w:val="32"/>
          <w:szCs w:val="32"/>
          <w:lang w:val="en-US" w:eastAsia="zh-CN"/>
        </w:rPr>
        <w:t>《中华人民共和国食品安全法》第一百二十二条第一款</w:t>
      </w:r>
      <w:r>
        <w:rPr>
          <w:rFonts w:hint="eastAsia" w:ascii="仿宋_GB2312" w:hAnsi="仿宋_GB2312" w:eastAsia="仿宋_GB2312" w:cs="仿宋_GB2312"/>
          <w:bCs/>
          <w:sz w:val="32"/>
          <w:szCs w:val="32"/>
          <w:lang w:eastAsia="zh-CN"/>
        </w:rPr>
        <w:t>的规定，现责令当事人改正违法行为，并决定处罚如下：</w:t>
      </w:r>
    </w:p>
    <w:p w14:paraId="130CD212">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罚款人民币</w:t>
      </w:r>
      <w:r>
        <w:rPr>
          <w:rFonts w:hint="eastAsia" w:ascii="仿宋_GB2312" w:hAnsi="仿宋_GB2312" w:eastAsia="仿宋_GB2312" w:cs="仿宋_GB2312"/>
          <w:bCs/>
          <w:sz w:val="32"/>
          <w:szCs w:val="32"/>
          <w:lang w:val="en-US" w:eastAsia="zh-CN"/>
        </w:rPr>
        <w:t>2000</w:t>
      </w:r>
      <w:r>
        <w:rPr>
          <w:rFonts w:hint="eastAsia" w:ascii="仿宋_GB2312" w:hAnsi="仿宋_GB2312" w:eastAsia="仿宋_GB2312" w:cs="仿宋_GB2312"/>
          <w:bCs/>
          <w:sz w:val="32"/>
          <w:szCs w:val="32"/>
          <w:lang w:eastAsia="zh-CN"/>
        </w:rPr>
        <w:t xml:space="preserve">元整，上缴国库。                                                    </w:t>
      </w:r>
    </w:p>
    <w:p w14:paraId="71EC83AD">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请在接到本处罚决定书之日起15日内到蚌埠市禹会区市场监督管理局开具</w:t>
      </w:r>
      <w:r>
        <w:rPr>
          <w:rFonts w:hint="eastAsia" w:ascii="仿宋_GB2312" w:hAnsi="仿宋_GB2312" w:eastAsia="仿宋_GB2312" w:cs="仿宋_GB2312"/>
          <w:bCs/>
          <w:sz w:val="32"/>
          <w:szCs w:val="32"/>
          <w:lang w:eastAsia="zh-CN"/>
        </w:rPr>
        <w:t>安徽省统一公共支付平台电子缴款书</w:t>
      </w:r>
      <w:r>
        <w:rPr>
          <w:rFonts w:hint="eastAsia" w:ascii="仿宋_GB2312" w:hAnsi="仿宋_GB2312" w:eastAsia="仿宋_GB2312" w:cs="仿宋_GB2312"/>
          <w:bCs/>
          <w:sz w:val="32"/>
          <w:szCs w:val="32"/>
          <w:lang w:val="en-US" w:eastAsia="zh-CN"/>
        </w:rPr>
        <w:t>，将罚没款缴到指定银行。逾期不缴纳罚款的，</w:t>
      </w:r>
      <w:r>
        <w:rPr>
          <w:rFonts w:hint="eastAsia" w:ascii="仿宋_GB2312" w:hAnsi="仿宋_GB2312" w:eastAsia="仿宋_GB2312" w:cs="仿宋_GB2312"/>
          <w:bCs/>
          <w:sz w:val="32"/>
          <w:szCs w:val="32"/>
          <w:lang w:eastAsia="zh-CN"/>
        </w:rPr>
        <w:t>依据《中华人民共和国行政处罚法》第七十二条第一款的规定</w:t>
      </w:r>
      <w:r>
        <w:rPr>
          <w:rFonts w:hint="eastAsia" w:ascii="仿宋_GB2312" w:hAnsi="仿宋_GB2312" w:eastAsia="仿宋_GB2312" w:cs="仿宋_GB2312"/>
          <w:bCs/>
          <w:sz w:val="32"/>
          <w:szCs w:val="32"/>
          <w:lang w:val="en-US" w:eastAsia="zh-CN"/>
        </w:rPr>
        <w:t xml:space="preserve">每日按罚款数额的3%加处罚款，并将依法申请人民法院强制执行。   </w:t>
      </w:r>
    </w:p>
    <w:p w14:paraId="3775C74A">
      <w:pPr>
        <w:keepNext w:val="0"/>
        <w:keepLines w:val="0"/>
        <w:pageBreakBefore w:val="0"/>
        <w:widowControl/>
        <w:suppressLineNumbers w:val="0"/>
        <w:kinsoku/>
        <w:overflowPunct/>
        <w:topLinePunct w:val="0"/>
        <w:bidi w:val="0"/>
        <w:spacing w:line="44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如对本行政处罚决定不服，可于收到本决定书之日起六十日内向蚌埠市禹会区人民政府提起行政复议，也可以于六个月内依法向</w:t>
      </w:r>
      <w:r>
        <w:rPr>
          <w:rFonts w:hint="eastAsia" w:ascii="仿宋_GB2312" w:hAnsi="仿宋_GB2312" w:eastAsia="仿宋_GB2312" w:cs="仿宋_GB2312"/>
          <w:bCs/>
          <w:sz w:val="32"/>
          <w:szCs w:val="32"/>
          <w:lang w:val="en-US" w:eastAsia="zh-CN"/>
        </w:rPr>
        <w:t>蚌山区</w:t>
      </w:r>
      <w:r>
        <w:rPr>
          <w:rFonts w:hint="eastAsia" w:ascii="仿宋_GB2312" w:hAnsi="仿宋_GB2312" w:eastAsia="仿宋_GB2312" w:cs="仿宋_GB2312"/>
          <w:bCs/>
          <w:sz w:val="32"/>
          <w:szCs w:val="32"/>
          <w:lang w:eastAsia="zh-CN"/>
        </w:rPr>
        <w:t>人民法院提起行政诉讼。申请行政复议或者提出行政诉讼期间,行政处罚不停止执行。</w:t>
      </w:r>
    </w:p>
    <w:p w14:paraId="41E14A56">
      <w:pPr>
        <w:keepNext w:val="0"/>
        <w:keepLines w:val="0"/>
        <w:pageBreakBefore w:val="0"/>
        <w:widowControl/>
        <w:kinsoku/>
        <w:overflowPunct/>
        <w:topLinePunct w:val="0"/>
        <w:bidi w:val="0"/>
        <w:snapToGrid w:val="0"/>
        <w:spacing w:line="440" w:lineRule="exact"/>
        <w:ind w:firstLine="6240" w:firstLineChars="1950"/>
        <w:jc w:val="left"/>
        <w:textAlignment w:val="auto"/>
        <w:rPr>
          <w:rFonts w:ascii="Times New Roman" w:hAnsi="Times New Roman" w:eastAsia="仿宋_GB2312" w:cs="仿宋_GB2312"/>
          <w:color w:val="000000"/>
          <w:sz w:val="32"/>
          <w:szCs w:val="32"/>
        </w:rPr>
      </w:pPr>
    </w:p>
    <w:p w14:paraId="02AFBD23">
      <w:pPr>
        <w:keepNext w:val="0"/>
        <w:keepLines w:val="0"/>
        <w:pageBreakBefore w:val="0"/>
        <w:kinsoku/>
        <w:overflowPunct/>
        <w:topLinePunct w:val="0"/>
        <w:bidi w:val="0"/>
        <w:spacing w:line="440" w:lineRule="exact"/>
        <w:ind w:right="640" w:firstLine="3840" w:firstLineChars="1200"/>
        <w:jc w:val="both"/>
        <w:textAlignment w:val="auto"/>
        <w:rPr>
          <w:rFonts w:ascii="Times New Roman" w:hAnsi="Times New Roman" w:eastAsia="仿宋_GB2312" w:cs="仿宋"/>
          <w:color w:val="000000"/>
          <w:sz w:val="32"/>
          <w:szCs w:val="32"/>
        </w:rPr>
      </w:pPr>
      <w:r>
        <w:rPr>
          <w:rFonts w:hint="eastAsia" w:ascii="Times New Roman" w:hAnsi="Times New Roman" w:eastAsia="仿宋_GB2312" w:cs="Mongolian Baiti"/>
          <w:bCs/>
          <w:kern w:val="1"/>
          <w:sz w:val="32"/>
          <w:szCs w:val="32"/>
          <w:u w:val="none"/>
        </w:rPr>
        <w:t>蚌埠市禹会区</w:t>
      </w:r>
      <w:r>
        <w:rPr>
          <w:rFonts w:hint="eastAsia" w:ascii="Times New Roman" w:hAnsi="Times New Roman" w:eastAsia="仿宋_GB2312" w:cs="仿宋"/>
          <w:color w:val="000000"/>
          <w:sz w:val="32"/>
          <w:szCs w:val="32"/>
        </w:rPr>
        <w:t xml:space="preserve">市场监督管理局    </w:t>
      </w:r>
    </w:p>
    <w:p w14:paraId="556E4AFB">
      <w:pPr>
        <w:keepNext w:val="0"/>
        <w:keepLines w:val="0"/>
        <w:pageBreakBefore w:val="0"/>
        <w:kinsoku/>
        <w:overflowPunct/>
        <w:topLinePunct w:val="0"/>
        <w:bidi w:val="0"/>
        <w:spacing w:line="440" w:lineRule="exact"/>
        <w:ind w:right="640" w:firstLine="601"/>
        <w:jc w:val="center"/>
        <w:textAlignment w:val="auto"/>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009CD6FF">
      <w:pPr>
        <w:keepNext w:val="0"/>
        <w:keepLines w:val="0"/>
        <w:pageBreakBefore w:val="0"/>
        <w:kinsoku/>
        <w:wordWrap w:val="0"/>
        <w:overflowPunct/>
        <w:topLinePunct w:val="0"/>
        <w:bidi w:val="0"/>
        <w:spacing w:line="440" w:lineRule="exact"/>
        <w:ind w:firstLine="600"/>
        <w:jc w:val="center"/>
        <w:textAlignment w:val="auto"/>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lang w:val="en-US" w:eastAsia="zh-CN"/>
        </w:rPr>
        <w:t xml:space="preserve">                       2026</w:t>
      </w:r>
      <w:r>
        <w:rPr>
          <w:rFonts w:hint="eastAsia" w:ascii="仿宋_GB2312" w:hAnsi="Times New Roman" w:eastAsia="仿宋_GB2312" w:cs="仿宋"/>
          <w:color w:val="000000"/>
          <w:sz w:val="32"/>
          <w:szCs w:val="32"/>
        </w:rPr>
        <w:t xml:space="preserve">年 </w:t>
      </w:r>
      <w:r>
        <w:rPr>
          <w:rFonts w:hint="eastAsia" w:ascii="仿宋_GB2312" w:hAnsi="Times New Roman" w:eastAsia="仿宋_GB2312" w:cs="仿宋"/>
          <w:color w:val="000000"/>
          <w:sz w:val="32"/>
          <w:szCs w:val="32"/>
          <w:lang w:val="en-US" w:eastAsia="zh-CN"/>
        </w:rPr>
        <w:t>7</w:t>
      </w:r>
      <w:r>
        <w:rPr>
          <w:rFonts w:hint="eastAsia" w:ascii="仿宋_GB2312" w:hAnsi="Times New Roman" w:eastAsia="仿宋_GB2312" w:cs="仿宋"/>
          <w:color w:val="000000"/>
          <w:sz w:val="32"/>
          <w:szCs w:val="32"/>
        </w:rPr>
        <w:t>月</w:t>
      </w:r>
      <w:r>
        <w:rPr>
          <w:rFonts w:hint="eastAsia" w:ascii="仿宋_GB2312" w:hAnsi="Times New Roman" w:eastAsia="仿宋_GB2312" w:cs="仿宋"/>
          <w:color w:val="000000"/>
          <w:sz w:val="32"/>
          <w:szCs w:val="32"/>
          <w:lang w:val="en-US" w:eastAsia="zh-CN"/>
        </w:rPr>
        <w:t>2</w:t>
      </w:r>
      <w:r>
        <w:rPr>
          <w:rFonts w:hint="eastAsia" w:ascii="仿宋_GB2312" w:hAnsi="Times New Roman" w:eastAsia="仿宋_GB2312" w:cs="仿宋"/>
          <w:color w:val="000000"/>
          <w:sz w:val="32"/>
          <w:szCs w:val="32"/>
        </w:rPr>
        <w:t xml:space="preserve">日    </w:t>
      </w:r>
    </w:p>
    <w:p w14:paraId="741872A3">
      <w:pPr>
        <w:keepNext w:val="0"/>
        <w:keepLines w:val="0"/>
        <w:pageBreakBefore w:val="0"/>
        <w:widowControl/>
        <w:kinsoku/>
        <w:overflowPunct/>
        <w:topLinePunct w:val="0"/>
        <w:bidi w:val="0"/>
        <w:snapToGrid w:val="0"/>
        <w:spacing w:line="440" w:lineRule="exact"/>
        <w:ind w:right="640"/>
        <w:jc w:val="center"/>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 xml:space="preserve">   </w:t>
      </w:r>
    </w:p>
    <w:p w14:paraId="6F00BEE6">
      <w:pPr>
        <w:keepNext w:val="0"/>
        <w:keepLines w:val="0"/>
        <w:pageBreakBefore w:val="0"/>
        <w:widowControl/>
        <w:kinsoku/>
        <w:overflowPunct/>
        <w:topLinePunct w:val="0"/>
        <w:bidi w:val="0"/>
        <w:snapToGrid w:val="0"/>
        <w:spacing w:line="440" w:lineRule="exact"/>
        <w:ind w:right="640" w:firstLine="960" w:firstLineChars="300"/>
        <w:jc w:val="both"/>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 xml:space="preserve"> </w:t>
      </w:r>
    </w:p>
    <w:p w14:paraId="2C802457">
      <w:pPr>
        <w:keepNext w:val="0"/>
        <w:keepLines w:val="0"/>
        <w:pageBreakBefore w:val="0"/>
        <w:widowControl/>
        <w:kinsoku/>
        <w:overflowPunct/>
        <w:topLinePunct w:val="0"/>
        <w:bidi w:val="0"/>
        <w:snapToGrid w:val="0"/>
        <w:spacing w:line="440" w:lineRule="exact"/>
        <w:ind w:right="640" w:firstLine="1152" w:firstLineChars="400"/>
        <w:jc w:val="both"/>
        <w:textAlignment w:val="auto"/>
        <w:rPr>
          <w:rFonts w:ascii="Times New Roman" w:hAnsi="Times New Roman" w:eastAsia="仿宋_GB2312" w:cs="Mongolian Baiti"/>
          <w:color w:val="000000"/>
          <w:sz w:val="32"/>
          <w:szCs w:val="32"/>
          <w:u w:val="single"/>
        </w:rPr>
      </w:pPr>
      <w:r>
        <w:rPr>
          <w:rFonts w:hint="eastAsia" w:ascii="黑体" w:hAnsi="黑体" w:eastAsia="黑体"/>
          <w:color w:val="231F20"/>
          <w:spacing w:val="-16"/>
          <w:sz w:val="32"/>
          <w:szCs w:val="32"/>
        </w:rPr>
        <w:t>（市场监督管理部门将依法向社会公开行政处罚决定信息）</w:t>
      </w:r>
    </w:p>
    <w:p w14:paraId="3800ADFC">
      <w:pPr>
        <w:keepNext w:val="0"/>
        <w:keepLines w:val="0"/>
        <w:pageBreakBefore w:val="0"/>
        <w:kinsoku/>
        <w:overflowPunct/>
        <w:topLinePunct w:val="0"/>
        <w:bidi w:val="0"/>
        <w:spacing w:line="440" w:lineRule="exact"/>
        <w:ind w:firstLine="1600" w:firstLineChars="500"/>
        <w:textAlignment w:val="auto"/>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2pt;height:0.05pt;width:437.05pt;mso-position-horizontal:center;z-index:251661312;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nQaGtQAAAAEAQAADwAAAAAAAAABACAAAAAiAAAAZHJzL2Rvd25yZXYueG1sUEsB&#10;AhQAFAAAAAgAh07iQEPBgEL5AQAA9QMAAA4AAAAAAAAAAQAgAAAAIwEAAGRycy9lMm9Eb2MueG1s&#10;UEsFBgAAAAAGAAYAWQEAAI4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GlcB1/QEAAPMDAAAOAAAAZHJzL2Uyb0RvYy54bWytU82O&#10;0zAQviPxDpbvNG3QdiFquoctywVBJeABpo6TWPIfHrdpX4IXQOIGJ47c921YHoOxU8qyXHogB2fs&#10;GX8z3+eZ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Pfjd&#10;p+8/Pn75efuZ1rtvX1mZRBo8VhR7bdfhuEO/Donxvg0m/YkL22dhDydh5T4yQYcXl/NyXl5wJsg3&#10;Ky+z7sWfuz5gfCmdYcmouVY20YYKdq8wUj4K/R2SjrVlQ82fP53TKwqgHsQPZBhPLNB2+SY6rZob&#10;pXWKx9BtrnVgO0hdkL/EiVD/CkspVoD9GJddY3/0EpoXtmHx4EkfS2PBUwFGNpxpSVOULAKEKoLS&#10;50RSam3TBZl79MgyiTzKmqyNaw70NlsfVNeTKrNcc/JQL+Tqj32bmu3+nuz7s7r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vv85HXAAAACgEAAA8AAAAAAAAAAQAgAAAAIgAAAGRycy9kb3ducmV2&#10;LnhtbFBLAQIUABQAAAAIAIdO4kAGlcB1/QEAAPMDAAAOAAAAAAAAAAEAIAAAACYBAABkcnMvZTJv&#10;RG9jLnhtbFBLBQYAAAAABgAGAFkBAACV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Mongolian Baiti"/>
          <w:bCs/>
          <w:kern w:val="1"/>
          <w:sz w:val="32"/>
          <w:szCs w:val="32"/>
          <w:u w:val="single"/>
        </w:rPr>
        <w:t>两</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Mongolian Baiti"/>
          <w:bCs/>
          <w:kern w:val="1"/>
          <w:sz w:val="32"/>
          <w:szCs w:val="32"/>
          <w:u w:val="single"/>
        </w:rPr>
        <w:t>一</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p>
    <w:sectPr>
      <w:pgSz w:w="11906" w:h="16838"/>
      <w:pgMar w:top="873" w:right="1066" w:bottom="873"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DejaVu Sans">
    <w:altName w:val="Segoe Print"/>
    <w:panose1 w:val="020B0603030804020204"/>
    <w:charset w:val="00"/>
    <w:family w:val="auto"/>
    <w:pitch w:val="default"/>
    <w:sig w:usb0="00000000" w:usb1="00000000"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NTk5Njk2NGFjMzA5Yjk5NzA4YjdjMDFiMWQ2NjcifQ=="/>
  </w:docVars>
  <w:rsids>
    <w:rsidRoot w:val="00083B4A"/>
    <w:rsid w:val="00022B67"/>
    <w:rsid w:val="000726AC"/>
    <w:rsid w:val="00083B4A"/>
    <w:rsid w:val="000876C2"/>
    <w:rsid w:val="00093BC2"/>
    <w:rsid w:val="000C770F"/>
    <w:rsid w:val="001032FA"/>
    <w:rsid w:val="00135B84"/>
    <w:rsid w:val="00153B55"/>
    <w:rsid w:val="0016294F"/>
    <w:rsid w:val="00164E55"/>
    <w:rsid w:val="001B2C9F"/>
    <w:rsid w:val="001F7A57"/>
    <w:rsid w:val="00236BC2"/>
    <w:rsid w:val="00242667"/>
    <w:rsid w:val="002C2C45"/>
    <w:rsid w:val="002C577E"/>
    <w:rsid w:val="0031214E"/>
    <w:rsid w:val="00333929"/>
    <w:rsid w:val="00335252"/>
    <w:rsid w:val="00337C21"/>
    <w:rsid w:val="00342948"/>
    <w:rsid w:val="00345FDB"/>
    <w:rsid w:val="003471F2"/>
    <w:rsid w:val="00361F3B"/>
    <w:rsid w:val="003942B7"/>
    <w:rsid w:val="003B2F49"/>
    <w:rsid w:val="004A206B"/>
    <w:rsid w:val="004D052D"/>
    <w:rsid w:val="004E39DE"/>
    <w:rsid w:val="005157A8"/>
    <w:rsid w:val="00550EFB"/>
    <w:rsid w:val="005764DF"/>
    <w:rsid w:val="00580818"/>
    <w:rsid w:val="005954A2"/>
    <w:rsid w:val="00596CFD"/>
    <w:rsid w:val="005A3735"/>
    <w:rsid w:val="005C7FA3"/>
    <w:rsid w:val="005D296E"/>
    <w:rsid w:val="006845EE"/>
    <w:rsid w:val="00690A51"/>
    <w:rsid w:val="006C2569"/>
    <w:rsid w:val="006E5D75"/>
    <w:rsid w:val="00713DF5"/>
    <w:rsid w:val="00765B94"/>
    <w:rsid w:val="007A09C9"/>
    <w:rsid w:val="007B4F2C"/>
    <w:rsid w:val="007F53C9"/>
    <w:rsid w:val="007F7A5B"/>
    <w:rsid w:val="0080739F"/>
    <w:rsid w:val="008464A6"/>
    <w:rsid w:val="008553A8"/>
    <w:rsid w:val="00863E66"/>
    <w:rsid w:val="00884518"/>
    <w:rsid w:val="008F2D4E"/>
    <w:rsid w:val="009573A3"/>
    <w:rsid w:val="009A042C"/>
    <w:rsid w:val="009A102B"/>
    <w:rsid w:val="009C78A1"/>
    <w:rsid w:val="009D79E0"/>
    <w:rsid w:val="009E5FD0"/>
    <w:rsid w:val="009F1A6B"/>
    <w:rsid w:val="00A27715"/>
    <w:rsid w:val="00A9052E"/>
    <w:rsid w:val="00AF5A45"/>
    <w:rsid w:val="00B0192C"/>
    <w:rsid w:val="00B352B3"/>
    <w:rsid w:val="00B76189"/>
    <w:rsid w:val="00BB36C3"/>
    <w:rsid w:val="00BE06A0"/>
    <w:rsid w:val="00C10186"/>
    <w:rsid w:val="00C74D12"/>
    <w:rsid w:val="00C8006B"/>
    <w:rsid w:val="00C83CBE"/>
    <w:rsid w:val="00CC05E9"/>
    <w:rsid w:val="00CC3417"/>
    <w:rsid w:val="00D13BFF"/>
    <w:rsid w:val="00D16C98"/>
    <w:rsid w:val="00D50121"/>
    <w:rsid w:val="00DE6E7C"/>
    <w:rsid w:val="00DF39E8"/>
    <w:rsid w:val="00E01770"/>
    <w:rsid w:val="00E20928"/>
    <w:rsid w:val="00E73F50"/>
    <w:rsid w:val="00E7459C"/>
    <w:rsid w:val="00E94828"/>
    <w:rsid w:val="00F238AC"/>
    <w:rsid w:val="00F42391"/>
    <w:rsid w:val="00F7210E"/>
    <w:rsid w:val="00F97A2B"/>
    <w:rsid w:val="00FC2861"/>
    <w:rsid w:val="00FE2495"/>
    <w:rsid w:val="01022B04"/>
    <w:rsid w:val="01077140"/>
    <w:rsid w:val="02583028"/>
    <w:rsid w:val="03035935"/>
    <w:rsid w:val="03320337"/>
    <w:rsid w:val="04C9495C"/>
    <w:rsid w:val="04D331F1"/>
    <w:rsid w:val="053F0257"/>
    <w:rsid w:val="058F1702"/>
    <w:rsid w:val="05D8310A"/>
    <w:rsid w:val="05E62965"/>
    <w:rsid w:val="08E939DE"/>
    <w:rsid w:val="0A430B20"/>
    <w:rsid w:val="0A640151"/>
    <w:rsid w:val="0BC55773"/>
    <w:rsid w:val="0BEE613B"/>
    <w:rsid w:val="0C4A769D"/>
    <w:rsid w:val="0DE9148B"/>
    <w:rsid w:val="0DF3640B"/>
    <w:rsid w:val="0ED701E8"/>
    <w:rsid w:val="0F1328A3"/>
    <w:rsid w:val="0FB6788B"/>
    <w:rsid w:val="10B36ECA"/>
    <w:rsid w:val="118634BF"/>
    <w:rsid w:val="13D34BB6"/>
    <w:rsid w:val="144C485D"/>
    <w:rsid w:val="160610B2"/>
    <w:rsid w:val="16162D1C"/>
    <w:rsid w:val="17005FBC"/>
    <w:rsid w:val="18E672EB"/>
    <w:rsid w:val="19241BC9"/>
    <w:rsid w:val="19281EA7"/>
    <w:rsid w:val="193B5908"/>
    <w:rsid w:val="1A515342"/>
    <w:rsid w:val="1AFF457F"/>
    <w:rsid w:val="1B1C1096"/>
    <w:rsid w:val="1BE10B8D"/>
    <w:rsid w:val="1C0025BA"/>
    <w:rsid w:val="1C047538"/>
    <w:rsid w:val="1C6C0EE4"/>
    <w:rsid w:val="1D533C1F"/>
    <w:rsid w:val="1DC97F95"/>
    <w:rsid w:val="1DDF006B"/>
    <w:rsid w:val="1E606120"/>
    <w:rsid w:val="1E682063"/>
    <w:rsid w:val="1EC35208"/>
    <w:rsid w:val="1F5EBDFE"/>
    <w:rsid w:val="1FF53438"/>
    <w:rsid w:val="203010B0"/>
    <w:rsid w:val="2045532A"/>
    <w:rsid w:val="2118607A"/>
    <w:rsid w:val="21C73A46"/>
    <w:rsid w:val="21DE339D"/>
    <w:rsid w:val="23797F5B"/>
    <w:rsid w:val="23C93A86"/>
    <w:rsid w:val="23D560FF"/>
    <w:rsid w:val="23FD53FC"/>
    <w:rsid w:val="261C37C8"/>
    <w:rsid w:val="270F02C9"/>
    <w:rsid w:val="29345E48"/>
    <w:rsid w:val="29581C87"/>
    <w:rsid w:val="2B5D7232"/>
    <w:rsid w:val="2BAD379A"/>
    <w:rsid w:val="2C1D3B38"/>
    <w:rsid w:val="2D2B1C56"/>
    <w:rsid w:val="2E267BF2"/>
    <w:rsid w:val="2E342EFC"/>
    <w:rsid w:val="2EA27DE2"/>
    <w:rsid w:val="2F084659"/>
    <w:rsid w:val="2F8D0EA8"/>
    <w:rsid w:val="2FAF688A"/>
    <w:rsid w:val="2FC3205A"/>
    <w:rsid w:val="30137E05"/>
    <w:rsid w:val="309F1F4A"/>
    <w:rsid w:val="30DF72BE"/>
    <w:rsid w:val="33B23F5F"/>
    <w:rsid w:val="33E06AF0"/>
    <w:rsid w:val="343D6109"/>
    <w:rsid w:val="363260B2"/>
    <w:rsid w:val="3633219A"/>
    <w:rsid w:val="36496842"/>
    <w:rsid w:val="36B70F0A"/>
    <w:rsid w:val="392B61FC"/>
    <w:rsid w:val="3A390009"/>
    <w:rsid w:val="3BFB233C"/>
    <w:rsid w:val="3C001A06"/>
    <w:rsid w:val="3CEE63B7"/>
    <w:rsid w:val="3D1E4B47"/>
    <w:rsid w:val="3D926B8B"/>
    <w:rsid w:val="3DA955B5"/>
    <w:rsid w:val="3DCC24C5"/>
    <w:rsid w:val="3E5C0B71"/>
    <w:rsid w:val="3ED8B28B"/>
    <w:rsid w:val="3EDB2845"/>
    <w:rsid w:val="3EEB139D"/>
    <w:rsid w:val="3F034A78"/>
    <w:rsid w:val="3F7BBABB"/>
    <w:rsid w:val="3F8D1265"/>
    <w:rsid w:val="3FFFA3F9"/>
    <w:rsid w:val="40493028"/>
    <w:rsid w:val="40AD5AFD"/>
    <w:rsid w:val="40DC7FF2"/>
    <w:rsid w:val="41337157"/>
    <w:rsid w:val="41457AD8"/>
    <w:rsid w:val="4176296D"/>
    <w:rsid w:val="46D05285"/>
    <w:rsid w:val="471F2BC0"/>
    <w:rsid w:val="4803505C"/>
    <w:rsid w:val="48515AA6"/>
    <w:rsid w:val="48637C73"/>
    <w:rsid w:val="49811CE1"/>
    <w:rsid w:val="499441BE"/>
    <w:rsid w:val="4AB60128"/>
    <w:rsid w:val="4B1B26BD"/>
    <w:rsid w:val="4CC061B0"/>
    <w:rsid w:val="4CD32F22"/>
    <w:rsid w:val="4DE419DD"/>
    <w:rsid w:val="4E280BCE"/>
    <w:rsid w:val="4E8764DD"/>
    <w:rsid w:val="4F8978B5"/>
    <w:rsid w:val="4F9A1DBE"/>
    <w:rsid w:val="4F9D602A"/>
    <w:rsid w:val="4FEF6FB9"/>
    <w:rsid w:val="501139F9"/>
    <w:rsid w:val="50E56830"/>
    <w:rsid w:val="518C4F34"/>
    <w:rsid w:val="524D5852"/>
    <w:rsid w:val="537C222E"/>
    <w:rsid w:val="53DD7DE8"/>
    <w:rsid w:val="55AE21B4"/>
    <w:rsid w:val="56C67981"/>
    <w:rsid w:val="57181174"/>
    <w:rsid w:val="5889335C"/>
    <w:rsid w:val="58D7019E"/>
    <w:rsid w:val="59DC2372"/>
    <w:rsid w:val="59FFA1B6"/>
    <w:rsid w:val="5AAF52D3"/>
    <w:rsid w:val="5B21271F"/>
    <w:rsid w:val="5B3974C5"/>
    <w:rsid w:val="5B4F1304"/>
    <w:rsid w:val="5B7F3E4E"/>
    <w:rsid w:val="5BEF7CE3"/>
    <w:rsid w:val="5CE56DBB"/>
    <w:rsid w:val="5DB9F938"/>
    <w:rsid w:val="5DF72A8C"/>
    <w:rsid w:val="5FF72460"/>
    <w:rsid w:val="60265D67"/>
    <w:rsid w:val="6076490A"/>
    <w:rsid w:val="61075E87"/>
    <w:rsid w:val="62FF4946"/>
    <w:rsid w:val="630A6C78"/>
    <w:rsid w:val="636D656F"/>
    <w:rsid w:val="639428D4"/>
    <w:rsid w:val="639D2213"/>
    <w:rsid w:val="63BD3D90"/>
    <w:rsid w:val="64ED6D98"/>
    <w:rsid w:val="650C4F61"/>
    <w:rsid w:val="655D134D"/>
    <w:rsid w:val="65877008"/>
    <w:rsid w:val="67D7CC79"/>
    <w:rsid w:val="685B73C6"/>
    <w:rsid w:val="69A87C65"/>
    <w:rsid w:val="6A6C42EE"/>
    <w:rsid w:val="6AF63A87"/>
    <w:rsid w:val="6B2B3DFF"/>
    <w:rsid w:val="6B4056BF"/>
    <w:rsid w:val="6B6616C1"/>
    <w:rsid w:val="6C694EB6"/>
    <w:rsid w:val="6D004B38"/>
    <w:rsid w:val="6F6BFB08"/>
    <w:rsid w:val="6FDBB532"/>
    <w:rsid w:val="6FE95D22"/>
    <w:rsid w:val="6FF648C4"/>
    <w:rsid w:val="70A26911"/>
    <w:rsid w:val="71C81208"/>
    <w:rsid w:val="756E5368"/>
    <w:rsid w:val="75E33FCE"/>
    <w:rsid w:val="76EE53B2"/>
    <w:rsid w:val="77096B6E"/>
    <w:rsid w:val="773F21CD"/>
    <w:rsid w:val="778C3E77"/>
    <w:rsid w:val="77E5AAEE"/>
    <w:rsid w:val="77FD1FB4"/>
    <w:rsid w:val="78453B4A"/>
    <w:rsid w:val="78FE2615"/>
    <w:rsid w:val="79CB3682"/>
    <w:rsid w:val="79FC58FD"/>
    <w:rsid w:val="7A1E7D4C"/>
    <w:rsid w:val="7A7F058B"/>
    <w:rsid w:val="7B7B4718"/>
    <w:rsid w:val="7BE54CF6"/>
    <w:rsid w:val="7CE41F74"/>
    <w:rsid w:val="7D3D2ACD"/>
    <w:rsid w:val="7DDB59DE"/>
    <w:rsid w:val="7DFD6FEA"/>
    <w:rsid w:val="7DFE41A0"/>
    <w:rsid w:val="7EABD861"/>
    <w:rsid w:val="7EFFBB6E"/>
    <w:rsid w:val="7F7FCA39"/>
    <w:rsid w:val="7FB7408F"/>
    <w:rsid w:val="7FDFA130"/>
    <w:rsid w:val="7FEDDA88"/>
    <w:rsid w:val="818B9AA0"/>
    <w:rsid w:val="AFFEC931"/>
    <w:rsid w:val="B16F0AF2"/>
    <w:rsid w:val="B32F975F"/>
    <w:rsid w:val="B5BC9374"/>
    <w:rsid w:val="B7F61B9B"/>
    <w:rsid w:val="BDFD5AC9"/>
    <w:rsid w:val="BFE7236A"/>
    <w:rsid w:val="D5CFFB19"/>
    <w:rsid w:val="D6E5435C"/>
    <w:rsid w:val="D8D76C3E"/>
    <w:rsid w:val="DB77620C"/>
    <w:rsid w:val="DEE703EC"/>
    <w:rsid w:val="EDB37528"/>
    <w:rsid w:val="EFB70AC1"/>
    <w:rsid w:val="EFFFE656"/>
    <w:rsid w:val="F3AF5D56"/>
    <w:rsid w:val="F5F35C61"/>
    <w:rsid w:val="F7F6A1AF"/>
    <w:rsid w:val="FDF5A103"/>
    <w:rsid w:val="FE7EB6E3"/>
    <w:rsid w:val="FF1D05F7"/>
    <w:rsid w:val="FF7BE1B2"/>
    <w:rsid w:val="FFFF950D"/>
    <w:rsid w:val="FFFFE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2"/>
    <w:next w:val="1"/>
    <w:qFormat/>
    <w:uiPriority w:val="0"/>
    <w:pPr>
      <w:widowControl w:val="0"/>
      <w:spacing w:line="590" w:lineRule="exact"/>
      <w:ind w:firstLine="480" w:firstLineChars="200"/>
      <w:jc w:val="both"/>
    </w:pPr>
    <w:rPr>
      <w:rFonts w:ascii="Calibri" w:hAnsi="Calibri" w:eastAsia="方正仿宋_GBK" w:cs="Times New Roman"/>
      <w:kern w:val="2"/>
      <w:sz w:val="32"/>
      <w:szCs w:val="24"/>
      <w:lang w:val="en-US" w:eastAsia="zh-CN" w:bidi="ar-SA"/>
    </w:rPr>
  </w:style>
  <w:style w:type="paragraph" w:styleId="3">
    <w:name w:val="Normal Indent"/>
    <w:basedOn w:val="1"/>
    <w:qFormat/>
    <w:uiPriority w:val="0"/>
    <w:pPr>
      <w:widowControl w:val="0"/>
      <w:ind w:firstLine="200" w:firstLineChars="200"/>
      <w:jc w:val="both"/>
    </w:pPr>
    <w:rPr>
      <w:rFonts w:ascii="Calibri" w:hAnsi="Calibri" w:eastAsia="宋体" w:cs="Times New Roman"/>
      <w:kern w:val="2"/>
      <w:sz w:val="21"/>
      <w:szCs w:val="24"/>
      <w:lang w:val="en-US" w:eastAsia="zh-CN" w:bidi="ar-SA"/>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FollowedHyperlink"/>
    <w:basedOn w:val="9"/>
    <w:qFormat/>
    <w:uiPriority w:val="0"/>
    <w:rPr>
      <w:color w:val="666699"/>
      <w:u w:val="none"/>
    </w:rPr>
  </w:style>
  <w:style w:type="character" w:styleId="11">
    <w:name w:val="Hyperlink"/>
    <w:basedOn w:val="9"/>
    <w:qFormat/>
    <w:uiPriority w:val="0"/>
    <w:rPr>
      <w:color w:val="1F3A87"/>
      <w:u w:val="none"/>
    </w:rPr>
  </w:style>
  <w:style w:type="character" w:customStyle="1" w:styleId="12">
    <w:name w:val="页眉 Char"/>
    <w:basedOn w:val="9"/>
    <w:link w:val="6"/>
    <w:qFormat/>
    <w:uiPriority w:val="0"/>
    <w:rPr>
      <w:kern w:val="2"/>
      <w:sz w:val="18"/>
      <w:szCs w:val="18"/>
    </w:rPr>
  </w:style>
  <w:style w:type="character" w:customStyle="1" w:styleId="13">
    <w:name w:val="页脚 Char"/>
    <w:basedOn w:val="9"/>
    <w:link w:val="5"/>
    <w:qFormat/>
    <w:uiPriority w:val="0"/>
    <w:rPr>
      <w:kern w:val="2"/>
      <w:sz w:val="18"/>
      <w:szCs w:val="18"/>
    </w:rPr>
  </w:style>
  <w:style w:type="paragraph" w:customStyle="1" w:styleId="14">
    <w:name w:val="内文"/>
    <w:basedOn w:val="1"/>
    <w:qFormat/>
    <w:uiPriority w:val="99"/>
    <w:pPr>
      <w:autoSpaceDE w:val="0"/>
      <w:autoSpaceDN w:val="0"/>
      <w:adjustRightInd w:val="0"/>
      <w:spacing w:line="460" w:lineRule="atLeast"/>
      <w:ind w:firstLine="567"/>
      <w:textAlignment w:val="center"/>
    </w:pPr>
    <w:rPr>
      <w:rFonts w:ascii="宋体" w:cs="宋体"/>
      <w:color w:val="000000"/>
      <w:kern w:val="0"/>
      <w:sz w:val="30"/>
      <w:szCs w:val="30"/>
      <w:lang w:val="zh-CN"/>
    </w:rPr>
  </w:style>
  <w:style w:type="paragraph" w:customStyle="1" w:styleId="15">
    <w:name w:val="章节立法"/>
    <w:basedOn w:val="1"/>
    <w:qFormat/>
    <w:uiPriority w:val="99"/>
    <w:pPr>
      <w:autoSpaceDE w:val="0"/>
      <w:autoSpaceDN w:val="0"/>
      <w:adjustRightInd w:val="0"/>
      <w:spacing w:line="460" w:lineRule="atLeast"/>
      <w:textAlignment w:val="center"/>
    </w:pPr>
    <w:rPr>
      <w:rFonts w:ascii="宋体" w:cs="宋体"/>
      <w:color w:val="000000"/>
      <w:kern w:val="0"/>
      <w:sz w:val="28"/>
      <w:szCs w:val="28"/>
      <w:lang w:val="zh-CN"/>
    </w:rPr>
  </w:style>
  <w:style w:type="character" w:customStyle="1" w:styleId="16">
    <w:name w:val="hilite6"/>
    <w:basedOn w:val="9"/>
    <w:qFormat/>
    <w:uiPriority w:val="0"/>
    <w:rPr>
      <w:color w:val="FFFFFF"/>
      <w:shd w:val="clear" w:fill="666677"/>
    </w:rPr>
  </w:style>
  <w:style w:type="character" w:customStyle="1" w:styleId="17">
    <w:name w:val="active4"/>
    <w:basedOn w:val="9"/>
    <w:qFormat/>
    <w:uiPriority w:val="0"/>
    <w:rPr>
      <w:color w:val="00FF00"/>
      <w:shd w:val="clear" w:fill="000000"/>
    </w:rPr>
  </w:style>
  <w:style w:type="character" w:customStyle="1" w:styleId="18">
    <w:name w:val="active6"/>
    <w:basedOn w:val="9"/>
    <w:qFormat/>
    <w:uiPriority w:val="0"/>
    <w:rPr>
      <w:color w:val="00FF00"/>
      <w:shd w:val="clear" w:fill="000000"/>
    </w:rPr>
  </w:style>
  <w:style w:type="character" w:customStyle="1" w:styleId="19">
    <w:name w:val="active"/>
    <w:basedOn w:val="9"/>
    <w:qFormat/>
    <w:uiPriority w:val="0"/>
    <w:rPr>
      <w:color w:val="00FF00"/>
      <w:shd w:val="clear" w:fill="000000"/>
    </w:rPr>
  </w:style>
  <w:style w:type="character" w:customStyle="1" w:styleId="20">
    <w:name w:val="hilite4"/>
    <w:basedOn w:val="9"/>
    <w:qFormat/>
    <w:uiPriority w:val="0"/>
    <w:rPr>
      <w:color w:val="FFFFFF"/>
      <w:shd w:val="clear" w:fill="666677"/>
    </w:rPr>
  </w:style>
  <w:style w:type="paragraph" w:customStyle="1" w:styleId="21">
    <w:name w:val="0正文仿宋"/>
    <w:basedOn w:val="1"/>
    <w:link w:val="24"/>
    <w:qFormat/>
    <w:uiPriority w:val="0"/>
    <w:pPr>
      <w:autoSpaceDE w:val="0"/>
      <w:autoSpaceDN w:val="0"/>
      <w:adjustRightInd w:val="0"/>
      <w:spacing w:beforeLines="0" w:afterLines="0" w:line="600" w:lineRule="exact"/>
      <w:ind w:firstLine="560" w:firstLineChars="200"/>
      <w:textAlignment w:val="center"/>
    </w:pPr>
    <w:rPr>
      <w:rFonts w:hint="eastAsia" w:ascii="仿宋_GB2312" w:hAnsi="仿宋_GB2312" w:eastAsia="仿宋_GB2312" w:cs="仿宋_GB2312"/>
      <w:color w:val="auto"/>
      <w:kern w:val="0"/>
      <w:sz w:val="32"/>
      <w:szCs w:val="32"/>
      <w:lang w:val="zh-CN"/>
    </w:rPr>
  </w:style>
  <w:style w:type="character" w:customStyle="1" w:styleId="22">
    <w:name w:val="00加粗 Char"/>
    <w:link w:val="23"/>
    <w:qFormat/>
    <w:uiPriority w:val="0"/>
    <w:rPr>
      <w:rFonts w:hint="eastAsia" w:ascii="仿宋_GB2312" w:hAnsi="仿宋_GB2312" w:eastAsia="仿宋_GB2312" w:cs="仿宋_GB2312"/>
      <w:b/>
      <w:bCs/>
      <w:color w:val="auto"/>
      <w:kern w:val="0"/>
      <w:sz w:val="32"/>
      <w:szCs w:val="32"/>
      <w:lang w:val="zh-CN"/>
    </w:rPr>
  </w:style>
  <w:style w:type="paragraph" w:customStyle="1" w:styleId="23">
    <w:name w:val="00加粗"/>
    <w:basedOn w:val="1"/>
    <w:link w:val="22"/>
    <w:qFormat/>
    <w:uiPriority w:val="0"/>
    <w:pPr>
      <w:autoSpaceDE w:val="0"/>
      <w:autoSpaceDN w:val="0"/>
      <w:adjustRightInd w:val="0"/>
      <w:spacing w:beforeLines="0" w:afterLines="0" w:line="600" w:lineRule="exact"/>
      <w:ind w:firstLine="560" w:firstLineChars="200"/>
      <w:textAlignment w:val="center"/>
    </w:pPr>
    <w:rPr>
      <w:rFonts w:hint="eastAsia" w:ascii="仿宋_GB2312" w:hAnsi="仿宋_GB2312" w:eastAsia="仿宋_GB2312" w:cs="仿宋_GB2312"/>
      <w:b/>
      <w:bCs/>
      <w:color w:val="auto"/>
      <w:kern w:val="0"/>
      <w:sz w:val="32"/>
      <w:szCs w:val="32"/>
      <w:lang w:val="zh-CN"/>
    </w:rPr>
  </w:style>
  <w:style w:type="character" w:customStyle="1" w:styleId="24">
    <w:name w:val="0正文仿宋 Char"/>
    <w:link w:val="21"/>
    <w:qFormat/>
    <w:uiPriority w:val="0"/>
    <w:rPr>
      <w:rFonts w:hint="eastAsia" w:ascii="仿宋_GB2312" w:hAnsi="仿宋_GB2312" w:eastAsia="仿宋_GB2312" w:cs="仿宋_GB2312"/>
      <w:color w:val="auto"/>
      <w:kern w:val="0"/>
      <w:sz w:val="32"/>
      <w:szCs w:val="32"/>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1475</Words>
  <Characters>1565</Characters>
  <Lines>18</Lines>
  <Paragraphs>5</Paragraphs>
  <TotalTime>13</TotalTime>
  <ScaleCrop>false</ScaleCrop>
  <LinksUpToDate>false</LinksUpToDate>
  <CharactersWithSpaces>1871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2021-07-26T13:03:00Z</dcterms:created>
  <dc:creator>lenovo</dc:creator>
  <cp:lastModifiedBy>燕</cp:lastModifiedBy>
  <cp:lastPrinted>2026-06-23T14:58:00Z</cp:lastPrinted>
  <dcterms:modified xsi:type="dcterms:W3CDTF">2026-07-02T06:47:14Z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62C2491836134B398686E992DF7F1A85_13</vt:lpwstr>
  </property>
  <property fmtid="{D5CDD505-2E9C-101B-9397-08002B2CF9AE}" pid="4" name="KSOTemplateDocerSaveRecord">
    <vt:lpwstr>eyJoZGlkIjoiZmNhZTY2NWEwMTlhZjk2OTM3MDQ2OThjMWYwNGY5OTMiLCJ1c2VySWQiOiI1MTQ3OTM1ODYifQ==</vt:lpwstr>
  </property>
</Properties>
</file>